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10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9"/>
        <w:gridCol w:w="355"/>
        <w:gridCol w:w="888"/>
        <w:gridCol w:w="1294"/>
        <w:gridCol w:w="563"/>
        <w:gridCol w:w="676"/>
        <w:gridCol w:w="894"/>
        <w:gridCol w:w="56"/>
        <w:gridCol w:w="945"/>
        <w:gridCol w:w="1800"/>
      </w:tblGrid>
      <w:tr w:rsidR="000219E7" w:rsidTr="00B950A4">
        <w:tc>
          <w:tcPr>
            <w:tcW w:w="1680" w:type="dxa"/>
            <w:tcBorders>
              <w:top w:val="single" w:sz="18" w:space="0" w:color="auto"/>
              <w:left w:val="single" w:sz="8" w:space="0" w:color="auto"/>
              <w:bottom w:val="single" w:sz="18" w:space="0" w:color="auto"/>
              <w:right w:val="single" w:sz="4" w:space="0" w:color="auto"/>
            </w:tcBorders>
            <w:vAlign w:val="center"/>
          </w:tcPr>
          <w:p w:rsidR="000219E7" w:rsidRDefault="000219E7" w:rsidP="00B950A4">
            <w:pPr>
              <w:pageBreakBefore/>
              <w:rPr>
                <w:b/>
              </w:rPr>
            </w:pPr>
            <w:r>
              <w:rPr>
                <w:b/>
              </w:rPr>
              <w:t>Пун назив</w:t>
            </w:r>
          </w:p>
        </w:tc>
        <w:tc>
          <w:tcPr>
            <w:tcW w:w="8040" w:type="dxa"/>
            <w:gridSpan w:val="10"/>
            <w:tcBorders>
              <w:top w:val="single" w:sz="18" w:space="0" w:color="auto"/>
              <w:left w:val="single" w:sz="4" w:space="0" w:color="auto"/>
              <w:bottom w:val="single" w:sz="18" w:space="0" w:color="auto"/>
              <w:right w:val="single" w:sz="8" w:space="0" w:color="auto"/>
            </w:tcBorders>
          </w:tcPr>
          <w:p w:rsidR="000219E7" w:rsidRDefault="000219E7" w:rsidP="00B950A4">
            <w:pPr>
              <w:pageBreakBefore/>
              <w:jc w:val="center"/>
            </w:pPr>
            <w:r>
              <w:rPr>
                <w:b/>
                <w:sz w:val="22"/>
                <w:szCs w:val="22"/>
              </w:rPr>
              <w:t>ПРАВО  КОНКУРЕНЦИЈЕ</w:t>
            </w:r>
          </w:p>
        </w:tc>
      </w:tr>
      <w:tr w:rsidR="000219E7" w:rsidTr="00B950A4">
        <w:trPr>
          <w:trHeight w:val="360"/>
        </w:trPr>
        <w:tc>
          <w:tcPr>
            <w:tcW w:w="2249" w:type="dxa"/>
            <w:gridSpan w:val="2"/>
            <w:tcBorders>
              <w:top w:val="single" w:sz="18" w:space="0" w:color="auto"/>
              <w:left w:val="single" w:sz="8" w:space="0" w:color="auto"/>
              <w:bottom w:val="single" w:sz="4" w:space="0" w:color="auto"/>
              <w:right w:val="single" w:sz="12" w:space="0" w:color="auto"/>
            </w:tcBorders>
          </w:tcPr>
          <w:p w:rsidR="000219E7" w:rsidRDefault="000219E7" w:rsidP="00B950A4">
            <w:pPr>
              <w:jc w:val="center"/>
              <w:rPr>
                <w:b/>
              </w:rPr>
            </w:pPr>
            <w:r>
              <w:rPr>
                <w:b/>
              </w:rPr>
              <w:t>Скраћени назив</w:t>
            </w:r>
          </w:p>
        </w:tc>
        <w:tc>
          <w:tcPr>
            <w:tcW w:w="1243" w:type="dxa"/>
            <w:gridSpan w:val="2"/>
            <w:tcBorders>
              <w:top w:val="single" w:sz="12" w:space="0" w:color="auto"/>
              <w:left w:val="single" w:sz="12" w:space="0" w:color="auto"/>
              <w:bottom w:val="single" w:sz="4" w:space="0" w:color="auto"/>
              <w:right w:val="single" w:sz="12" w:space="0" w:color="auto"/>
            </w:tcBorders>
          </w:tcPr>
          <w:p w:rsidR="000219E7" w:rsidRDefault="000219E7" w:rsidP="00B950A4">
            <w:pPr>
              <w:jc w:val="center"/>
              <w:rPr>
                <w:b/>
              </w:rPr>
            </w:pPr>
            <w:r>
              <w:rPr>
                <w:b/>
              </w:rPr>
              <w:t>Статус</w:t>
            </w:r>
          </w:p>
        </w:tc>
        <w:tc>
          <w:tcPr>
            <w:tcW w:w="2533" w:type="dxa"/>
            <w:gridSpan w:val="3"/>
            <w:tcBorders>
              <w:top w:val="single" w:sz="18" w:space="0" w:color="auto"/>
              <w:left w:val="single" w:sz="12" w:space="0" w:color="auto"/>
              <w:bottom w:val="single" w:sz="4" w:space="0" w:color="auto"/>
              <w:right w:val="single" w:sz="12" w:space="0" w:color="auto"/>
            </w:tcBorders>
          </w:tcPr>
          <w:p w:rsidR="000219E7" w:rsidRDefault="000219E7" w:rsidP="00B950A4">
            <w:pPr>
              <w:jc w:val="center"/>
              <w:rPr>
                <w:b/>
              </w:rPr>
            </w:pPr>
            <w:r>
              <w:rPr>
                <w:b/>
              </w:rPr>
              <w:t>Семестар</w:t>
            </w:r>
          </w:p>
        </w:tc>
        <w:tc>
          <w:tcPr>
            <w:tcW w:w="894" w:type="dxa"/>
            <w:tcBorders>
              <w:top w:val="single" w:sz="18" w:space="0" w:color="auto"/>
              <w:left w:val="single" w:sz="12" w:space="0" w:color="auto"/>
              <w:bottom w:val="single" w:sz="4" w:space="0" w:color="auto"/>
              <w:right w:val="single" w:sz="12" w:space="0" w:color="auto"/>
            </w:tcBorders>
          </w:tcPr>
          <w:p w:rsidR="000219E7" w:rsidRDefault="000219E7" w:rsidP="00B950A4">
            <w:pPr>
              <w:jc w:val="center"/>
              <w:rPr>
                <w:b/>
              </w:rPr>
            </w:pPr>
            <w:r>
              <w:rPr>
                <w:b/>
              </w:rPr>
              <w:t>ECTS</w:t>
            </w:r>
          </w:p>
        </w:tc>
        <w:tc>
          <w:tcPr>
            <w:tcW w:w="2801" w:type="dxa"/>
            <w:gridSpan w:val="3"/>
            <w:tcBorders>
              <w:top w:val="single" w:sz="18" w:space="0" w:color="auto"/>
              <w:left w:val="single" w:sz="12" w:space="0" w:color="auto"/>
              <w:bottom w:val="single" w:sz="4" w:space="0" w:color="auto"/>
              <w:right w:val="single" w:sz="8" w:space="0" w:color="auto"/>
            </w:tcBorders>
          </w:tcPr>
          <w:p w:rsidR="000219E7" w:rsidRDefault="000219E7" w:rsidP="00B950A4">
            <w:pPr>
              <w:jc w:val="center"/>
              <w:rPr>
                <w:b/>
              </w:rPr>
            </w:pPr>
            <w:r>
              <w:rPr>
                <w:b/>
              </w:rPr>
              <w:t>Фонд часова (П + В)</w:t>
            </w:r>
          </w:p>
        </w:tc>
      </w:tr>
      <w:tr w:rsidR="000219E7" w:rsidTr="00B950A4">
        <w:tc>
          <w:tcPr>
            <w:tcW w:w="2249" w:type="dxa"/>
            <w:gridSpan w:val="2"/>
            <w:tcBorders>
              <w:top w:val="single" w:sz="4" w:space="0" w:color="auto"/>
              <w:left w:val="single" w:sz="8" w:space="0" w:color="auto"/>
              <w:bottom w:val="single" w:sz="18" w:space="0" w:color="auto"/>
              <w:right w:val="single" w:sz="12" w:space="0" w:color="auto"/>
            </w:tcBorders>
          </w:tcPr>
          <w:p w:rsidR="000219E7" w:rsidRDefault="000219E7" w:rsidP="00B950A4">
            <w:pPr>
              <w:jc w:val="center"/>
            </w:pPr>
          </w:p>
        </w:tc>
        <w:tc>
          <w:tcPr>
            <w:tcW w:w="1243" w:type="dxa"/>
            <w:gridSpan w:val="2"/>
            <w:tcBorders>
              <w:top w:val="single" w:sz="4" w:space="0" w:color="auto"/>
              <w:left w:val="single" w:sz="12" w:space="0" w:color="auto"/>
              <w:bottom w:val="single" w:sz="12" w:space="0" w:color="auto"/>
              <w:right w:val="single" w:sz="12" w:space="0" w:color="auto"/>
            </w:tcBorders>
          </w:tcPr>
          <w:p w:rsidR="000219E7" w:rsidRDefault="000219E7" w:rsidP="00B950A4">
            <w:pPr>
              <w:jc w:val="center"/>
            </w:pPr>
            <w:r>
              <w:t xml:space="preserve">Изборни </w:t>
            </w:r>
          </w:p>
        </w:tc>
        <w:tc>
          <w:tcPr>
            <w:tcW w:w="2533" w:type="dxa"/>
            <w:gridSpan w:val="3"/>
            <w:tcBorders>
              <w:top w:val="single" w:sz="4" w:space="0" w:color="auto"/>
              <w:left w:val="single" w:sz="12" w:space="0" w:color="auto"/>
              <w:bottom w:val="single" w:sz="18" w:space="0" w:color="auto"/>
              <w:right w:val="single" w:sz="12" w:space="0" w:color="auto"/>
            </w:tcBorders>
          </w:tcPr>
          <w:p w:rsidR="000219E7" w:rsidRDefault="000219E7" w:rsidP="00B950A4">
            <w:pPr>
              <w:jc w:val="center"/>
            </w:pPr>
            <w:r>
              <w:t>IX или X (M–I или II)</w:t>
            </w:r>
          </w:p>
        </w:tc>
        <w:tc>
          <w:tcPr>
            <w:tcW w:w="894" w:type="dxa"/>
            <w:tcBorders>
              <w:top w:val="single" w:sz="4" w:space="0" w:color="auto"/>
              <w:left w:val="single" w:sz="12" w:space="0" w:color="auto"/>
              <w:bottom w:val="single" w:sz="18" w:space="0" w:color="auto"/>
              <w:right w:val="single" w:sz="12" w:space="0" w:color="auto"/>
            </w:tcBorders>
          </w:tcPr>
          <w:p w:rsidR="000219E7" w:rsidRDefault="000219E7" w:rsidP="00B950A4">
            <w:pPr>
              <w:jc w:val="center"/>
              <w:rPr>
                <w:b/>
              </w:rPr>
            </w:pPr>
            <w:r>
              <w:rPr>
                <w:b/>
              </w:rPr>
              <w:t>10</w:t>
            </w:r>
          </w:p>
        </w:tc>
        <w:tc>
          <w:tcPr>
            <w:tcW w:w="1001" w:type="dxa"/>
            <w:gridSpan w:val="2"/>
            <w:tcBorders>
              <w:top w:val="single" w:sz="4" w:space="0" w:color="auto"/>
              <w:left w:val="single" w:sz="12" w:space="0" w:color="auto"/>
              <w:bottom w:val="single" w:sz="18" w:space="0" w:color="auto"/>
              <w:right w:val="single" w:sz="8" w:space="0" w:color="auto"/>
            </w:tcBorders>
          </w:tcPr>
          <w:p w:rsidR="000219E7" w:rsidRDefault="000219E7" w:rsidP="00B950A4">
            <w:pPr>
              <w:jc w:val="center"/>
            </w:pPr>
            <w:r>
              <w:t>3 П</w:t>
            </w:r>
          </w:p>
        </w:tc>
        <w:tc>
          <w:tcPr>
            <w:tcW w:w="1800" w:type="dxa"/>
            <w:tcBorders>
              <w:top w:val="single" w:sz="4" w:space="0" w:color="auto"/>
              <w:left w:val="single" w:sz="12" w:space="0" w:color="auto"/>
              <w:bottom w:val="single" w:sz="18" w:space="0" w:color="auto"/>
              <w:right w:val="single" w:sz="8" w:space="0" w:color="auto"/>
            </w:tcBorders>
          </w:tcPr>
          <w:p w:rsidR="000219E7" w:rsidRDefault="000219E7" w:rsidP="00B950A4">
            <w:pPr>
              <w:jc w:val="center"/>
            </w:pPr>
            <w:r>
              <w:t>2 В</w:t>
            </w:r>
          </w:p>
        </w:tc>
      </w:tr>
      <w:tr w:rsidR="000219E7" w:rsidTr="00B950A4">
        <w:tc>
          <w:tcPr>
            <w:tcW w:w="2604" w:type="dxa"/>
            <w:gridSpan w:val="3"/>
            <w:tcBorders>
              <w:top w:val="single" w:sz="18" w:space="0" w:color="auto"/>
              <w:left w:val="single" w:sz="8" w:space="0" w:color="auto"/>
              <w:bottom w:val="single" w:sz="18" w:space="0" w:color="auto"/>
              <w:right w:val="single" w:sz="4" w:space="0" w:color="auto"/>
            </w:tcBorders>
          </w:tcPr>
          <w:p w:rsidR="000219E7" w:rsidRDefault="000219E7" w:rsidP="00B950A4">
            <w:pPr>
              <w:rPr>
                <w:b/>
              </w:rPr>
            </w:pPr>
            <w:r>
              <w:rPr>
                <w:b/>
              </w:rPr>
              <w:t>Шифра предмета</w:t>
            </w:r>
          </w:p>
        </w:tc>
        <w:tc>
          <w:tcPr>
            <w:tcW w:w="2182" w:type="dxa"/>
            <w:gridSpan w:val="2"/>
            <w:tcBorders>
              <w:top w:val="single" w:sz="18" w:space="0" w:color="auto"/>
              <w:left w:val="single" w:sz="4" w:space="0" w:color="auto"/>
              <w:bottom w:val="single" w:sz="18" w:space="0" w:color="auto"/>
              <w:right w:val="single" w:sz="8" w:space="0" w:color="auto"/>
            </w:tcBorders>
          </w:tcPr>
          <w:p w:rsidR="000219E7" w:rsidRDefault="000219E7" w:rsidP="00B950A4">
            <w:pPr>
              <w:jc w:val="center"/>
            </w:pPr>
          </w:p>
        </w:tc>
        <w:tc>
          <w:tcPr>
            <w:tcW w:w="2189" w:type="dxa"/>
            <w:gridSpan w:val="4"/>
            <w:tcBorders>
              <w:top w:val="single" w:sz="18" w:space="0" w:color="auto"/>
              <w:left w:val="single" w:sz="8" w:space="0" w:color="auto"/>
              <w:bottom w:val="single" w:sz="18" w:space="0" w:color="auto"/>
              <w:right w:val="single" w:sz="8" w:space="0" w:color="auto"/>
            </w:tcBorders>
          </w:tcPr>
          <w:p w:rsidR="000219E7" w:rsidRDefault="000219E7" w:rsidP="00B950A4">
            <w:pPr>
              <w:jc w:val="center"/>
            </w:pPr>
          </w:p>
        </w:tc>
        <w:tc>
          <w:tcPr>
            <w:tcW w:w="2745" w:type="dxa"/>
            <w:gridSpan w:val="2"/>
            <w:tcBorders>
              <w:top w:val="single" w:sz="18" w:space="0" w:color="auto"/>
              <w:left w:val="single" w:sz="8" w:space="0" w:color="auto"/>
              <w:bottom w:val="single" w:sz="18" w:space="0" w:color="auto"/>
              <w:right w:val="single" w:sz="8" w:space="0" w:color="auto"/>
            </w:tcBorders>
          </w:tcPr>
          <w:p w:rsidR="000219E7" w:rsidRDefault="000219E7" w:rsidP="00B950A4">
            <w:pPr>
              <w:jc w:val="center"/>
            </w:pPr>
          </w:p>
        </w:tc>
      </w:tr>
      <w:tr w:rsidR="000219E7" w:rsidTr="00B950A4">
        <w:tc>
          <w:tcPr>
            <w:tcW w:w="5349" w:type="dxa"/>
            <w:gridSpan w:val="6"/>
            <w:tcBorders>
              <w:top w:val="single" w:sz="18" w:space="0" w:color="auto"/>
              <w:left w:val="single" w:sz="8" w:space="0" w:color="auto"/>
              <w:bottom w:val="single" w:sz="18" w:space="0" w:color="auto"/>
              <w:right w:val="single" w:sz="4" w:space="0" w:color="auto"/>
            </w:tcBorders>
          </w:tcPr>
          <w:p w:rsidR="000219E7" w:rsidRDefault="000219E7" w:rsidP="00B950A4">
            <w:pPr>
              <w:rPr>
                <w:b/>
              </w:rPr>
            </w:pPr>
            <w:r>
              <w:rPr>
                <w:b/>
              </w:rPr>
              <w:t>Школска година од које се програм реализује</w:t>
            </w:r>
          </w:p>
        </w:tc>
        <w:tc>
          <w:tcPr>
            <w:tcW w:w="4371" w:type="dxa"/>
            <w:gridSpan w:val="5"/>
            <w:tcBorders>
              <w:top w:val="single" w:sz="18" w:space="0" w:color="auto"/>
              <w:left w:val="single" w:sz="4" w:space="0" w:color="auto"/>
              <w:bottom w:val="single" w:sz="18" w:space="0" w:color="auto"/>
              <w:right w:val="single" w:sz="8" w:space="0" w:color="auto"/>
            </w:tcBorders>
          </w:tcPr>
          <w:p w:rsidR="000219E7" w:rsidRDefault="000219E7" w:rsidP="00B950A4">
            <w:pPr>
              <w:rPr>
                <w:b/>
                <w:i/>
              </w:rPr>
            </w:pPr>
            <w:r>
              <w:rPr>
                <w:b/>
                <w:i/>
              </w:rPr>
              <w:t>2015/2016.</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i/>
                <w:sz w:val="20"/>
                <w:szCs w:val="20"/>
              </w:rPr>
            </w:pPr>
            <w:r>
              <w:rPr>
                <w:b/>
              </w:rPr>
              <w:t xml:space="preserve">Врста и ниво студија, студијски програми: </w:t>
            </w:r>
            <w:r>
              <w:rPr>
                <w:i/>
                <w:sz w:val="20"/>
                <w:szCs w:val="20"/>
              </w:rPr>
              <w:t>Академске студије, Други циклус (мастер студиј). Студијски програм: Пословно право.</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rPr>
                <w:i/>
                <w:sz w:val="20"/>
                <w:szCs w:val="20"/>
              </w:rPr>
            </w:pPr>
            <w:r>
              <w:rPr>
                <w:b/>
              </w:rPr>
              <w:t>Условљеност другим предметима:</w:t>
            </w:r>
            <w:r>
              <w:rPr>
                <w:i/>
                <w:sz w:val="20"/>
                <w:szCs w:val="20"/>
              </w:rPr>
              <w:t xml:space="preserve"> Нема услова за пријављивање и слушање предмета.</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bCs/>
                <w:i/>
                <w:sz w:val="20"/>
                <w:szCs w:val="20"/>
                <w:lang w:val="sr-Cyrl-CS"/>
              </w:rPr>
            </w:pPr>
            <w:r>
              <w:rPr>
                <w:b/>
              </w:rPr>
              <w:t>Циљеви изучавања предмета:</w:t>
            </w:r>
            <w:r>
              <w:rPr>
                <w:i/>
                <w:sz w:val="20"/>
                <w:szCs w:val="20"/>
              </w:rPr>
              <w:t xml:space="preserve"> </w:t>
            </w:r>
            <w:r>
              <w:rPr>
                <w:bCs/>
                <w:i/>
                <w:sz w:val="20"/>
                <w:lang w:val="sr-Cyrl-CS"/>
              </w:rPr>
              <w:t>Упознавање студената са разлозима заштите слободне тржишне конкуренције, основним облицима повреда конкуренције од стране учесника тржишне утакмице, поступцима и средствима њене заштите</w:t>
            </w:r>
            <w:r>
              <w:rPr>
                <w:bCs/>
                <w:i/>
                <w:sz w:val="20"/>
                <w:szCs w:val="20"/>
                <w:lang w:val="sr-Cyrl-CS"/>
              </w:rPr>
              <w:t xml:space="preserve">. </w:t>
            </w:r>
          </w:p>
        </w:tc>
      </w:tr>
      <w:tr w:rsidR="000219E7" w:rsidTr="00B950A4">
        <w:trPr>
          <w:trHeight w:val="135"/>
        </w:trPr>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sz w:val="20"/>
                <w:szCs w:val="20"/>
              </w:rPr>
            </w:pPr>
            <w:r>
              <w:rPr>
                <w:b/>
              </w:rPr>
              <w:t xml:space="preserve">Исходи учења: </w:t>
            </w:r>
            <w:r>
              <w:rPr>
                <w:bCs/>
                <w:i/>
                <w:sz w:val="20"/>
                <w:szCs w:val="20"/>
                <w:lang w:val="sr-Cyrl-CS"/>
              </w:rPr>
              <w:t>Студент стиче знање и вјештине које омогућују да самостално, компетентно и професионално критички анализира и примјењује знања из области права конкуренције</w:t>
            </w:r>
            <w:r>
              <w:rPr>
                <w:i/>
                <w:sz w:val="20"/>
                <w:szCs w:val="20"/>
              </w:rPr>
              <w:t>.</w:t>
            </w:r>
            <w:r>
              <w:rPr>
                <w:b/>
                <w:sz w:val="20"/>
                <w:szCs w:val="20"/>
              </w:rPr>
              <w:t xml:space="preserve"> </w:t>
            </w:r>
          </w:p>
        </w:tc>
      </w:tr>
      <w:tr w:rsidR="000219E7" w:rsidTr="00B950A4">
        <w:tc>
          <w:tcPr>
            <w:tcW w:w="9720" w:type="dxa"/>
            <w:gridSpan w:val="11"/>
            <w:tcBorders>
              <w:top w:val="single" w:sz="18" w:space="0" w:color="auto"/>
              <w:left w:val="single" w:sz="8" w:space="0" w:color="auto"/>
              <w:bottom w:val="single" w:sz="18" w:space="0" w:color="auto"/>
              <w:right w:val="single" w:sz="8" w:space="0" w:color="auto"/>
            </w:tcBorders>
          </w:tcPr>
          <w:p w:rsidR="000219E7" w:rsidRDefault="000219E7" w:rsidP="00B950A4">
            <w:pPr>
              <w:jc w:val="both"/>
              <w:rPr>
                <w:i/>
                <w:sz w:val="20"/>
                <w:szCs w:val="20"/>
              </w:rPr>
            </w:pPr>
            <w:r>
              <w:rPr>
                <w:b/>
              </w:rPr>
              <w:t>Метод наставе и савладавање градива:</w:t>
            </w:r>
            <w:r>
              <w:rPr>
                <w:i/>
                <w:sz w:val="20"/>
                <w:szCs w:val="20"/>
              </w:rPr>
              <w:t xml:space="preserve"> </w:t>
            </w:r>
            <w:r>
              <w:rPr>
                <w:i/>
                <w:sz w:val="20"/>
              </w:rPr>
              <w:t>П</w:t>
            </w:r>
            <w:r>
              <w:rPr>
                <w:i/>
                <w:sz w:val="20"/>
                <w:lang w:val="ru-RU"/>
              </w:rPr>
              <w:t>редавања, вјежбе, семинарски радови (есеји), студијска група, консултације,  рјешавање замишљених проблема</w:t>
            </w:r>
            <w:r>
              <w:rPr>
                <w:i/>
                <w:sz w:val="20"/>
                <w:szCs w:val="20"/>
              </w:rPr>
              <w:t>.</w:t>
            </w:r>
          </w:p>
        </w:tc>
      </w:tr>
      <w:tr w:rsidR="000219E7" w:rsidTr="00B950A4">
        <w:trPr>
          <w:trHeight w:val="736"/>
        </w:trPr>
        <w:tc>
          <w:tcPr>
            <w:tcW w:w="9720" w:type="dxa"/>
            <w:gridSpan w:val="11"/>
            <w:tcBorders>
              <w:top w:val="single" w:sz="18" w:space="0" w:color="auto"/>
              <w:left w:val="single" w:sz="8" w:space="0" w:color="auto"/>
              <w:bottom w:val="single" w:sz="4" w:space="0" w:color="auto"/>
              <w:right w:val="single" w:sz="8" w:space="0" w:color="auto"/>
            </w:tcBorders>
          </w:tcPr>
          <w:p w:rsidR="000219E7" w:rsidRDefault="000219E7" w:rsidP="00B950A4">
            <w:pPr>
              <w:rPr>
                <w:b/>
              </w:rPr>
            </w:pPr>
            <w:r>
              <w:rPr>
                <w:b/>
              </w:rPr>
              <w:t xml:space="preserve">Садржај предмета: </w:t>
            </w:r>
          </w:p>
          <w:p w:rsidR="000219E7" w:rsidRDefault="000219E7" w:rsidP="000219E7">
            <w:pPr>
              <w:numPr>
                <w:ilvl w:val="0"/>
                <w:numId w:val="1"/>
              </w:numPr>
              <w:rPr>
                <w:i/>
                <w:color w:val="000000"/>
                <w:sz w:val="18"/>
                <w:szCs w:val="18"/>
              </w:rPr>
            </w:pPr>
            <w:r>
              <w:rPr>
                <w:i/>
                <w:color w:val="000000"/>
                <w:sz w:val="18"/>
                <w:szCs w:val="18"/>
                <w:lang w:val="sr-Cyrl-CS"/>
              </w:rPr>
              <w:t>УВОДНИ ДИО – Појам, предмет, улога, историја и извори права конкуренције</w:t>
            </w:r>
          </w:p>
          <w:p w:rsidR="000219E7" w:rsidRDefault="000219E7" w:rsidP="000219E7">
            <w:pPr>
              <w:numPr>
                <w:ilvl w:val="0"/>
                <w:numId w:val="1"/>
              </w:numPr>
              <w:rPr>
                <w:i/>
                <w:color w:val="000000"/>
                <w:sz w:val="18"/>
                <w:szCs w:val="18"/>
              </w:rPr>
            </w:pPr>
            <w:r>
              <w:rPr>
                <w:i/>
                <w:color w:val="000000"/>
                <w:sz w:val="18"/>
                <w:szCs w:val="18"/>
                <w:lang w:val="sr-Cyrl-CS"/>
              </w:rPr>
              <w:t>ПЕРСОНАЛНА И ТЕРИТОРИЈАЛНА ПРИМЈЕНА ПРАВА КОНКУРЕНЦИЈЕ</w:t>
            </w:r>
          </w:p>
          <w:p w:rsidR="000219E7" w:rsidRDefault="000219E7" w:rsidP="000219E7">
            <w:pPr>
              <w:numPr>
                <w:ilvl w:val="0"/>
                <w:numId w:val="1"/>
              </w:numPr>
              <w:rPr>
                <w:i/>
                <w:color w:val="000000"/>
                <w:sz w:val="18"/>
                <w:szCs w:val="18"/>
              </w:rPr>
            </w:pPr>
            <w:r>
              <w:rPr>
                <w:i/>
                <w:color w:val="000000"/>
                <w:sz w:val="18"/>
                <w:szCs w:val="18"/>
                <w:lang w:val="sr-Cyrl-CS"/>
              </w:rPr>
              <w:t xml:space="preserve"> РЕЛЕВАНТНО ТРЖИШТЕ – тржиште проитзвода, географско тржиште, методи одређивања</w:t>
            </w:r>
          </w:p>
          <w:p w:rsidR="000219E7" w:rsidRDefault="000219E7" w:rsidP="000219E7">
            <w:pPr>
              <w:numPr>
                <w:ilvl w:val="0"/>
                <w:numId w:val="1"/>
              </w:numPr>
              <w:rPr>
                <w:i/>
                <w:color w:val="000000"/>
                <w:sz w:val="18"/>
                <w:szCs w:val="18"/>
              </w:rPr>
            </w:pPr>
            <w:r>
              <w:rPr>
                <w:i/>
                <w:color w:val="000000"/>
                <w:sz w:val="18"/>
                <w:szCs w:val="18"/>
                <w:lang w:val="sr-Cyrl-CS"/>
              </w:rPr>
              <w:t xml:space="preserve"> ПРОЦЈЕНА ТРЖИШНЕ МОЋИ – Тржишни удио, Степен концентрисаности тржишта, Препреке уласку на тржиште – потенцијална конкуренција, Укупна економска снага тржишног учесника, Тржишна понашања и резултати као показатељи тржишне моћи.</w:t>
            </w:r>
          </w:p>
          <w:p w:rsidR="000219E7" w:rsidRDefault="000219E7" w:rsidP="000219E7">
            <w:pPr>
              <w:numPr>
                <w:ilvl w:val="0"/>
                <w:numId w:val="1"/>
              </w:numPr>
              <w:rPr>
                <w:i/>
                <w:color w:val="000000"/>
                <w:sz w:val="18"/>
                <w:szCs w:val="18"/>
              </w:rPr>
            </w:pPr>
            <w:r>
              <w:rPr>
                <w:i/>
                <w:color w:val="000000"/>
                <w:sz w:val="18"/>
                <w:szCs w:val="18"/>
                <w:lang w:val="sr-Cyrl-CS"/>
              </w:rPr>
              <w:t xml:space="preserve">СПОРАЗУМИ КОЈИМА СЕ ОГРАНИЧАВА КОНКУРЕНЦИЈА - облици, хоризонтални и вертикални споразуми, циљна и последична ограничења конкуренције; утверђивање цена, ограничавање производње, тржишта, техничког развоја или инвестиција, подела тржишта или извора снабдевања, примена неједнаких услова на исте послове са различитим уговорним партнерима, условљавање закључења уговора прихватањем додатних обавеза које нису у вези са предметом уговора. </w:t>
            </w:r>
          </w:p>
          <w:p w:rsidR="000219E7" w:rsidRDefault="000219E7" w:rsidP="000219E7">
            <w:pPr>
              <w:numPr>
                <w:ilvl w:val="0"/>
                <w:numId w:val="1"/>
              </w:numPr>
              <w:rPr>
                <w:i/>
                <w:color w:val="000000"/>
                <w:sz w:val="18"/>
                <w:szCs w:val="18"/>
              </w:rPr>
            </w:pPr>
            <w:r>
              <w:rPr>
                <w:i/>
                <w:color w:val="000000"/>
                <w:sz w:val="18"/>
                <w:szCs w:val="18"/>
                <w:lang w:val="sr-Cyrl-CS"/>
              </w:rPr>
              <w:t xml:space="preserve">ЗЛОУПОТРЕБА ДОМИНАНТНОГ ПОЛОЖАЈА – Појам тржишне доминације, Колективна тржишна доминација, Појам злоупотребе, Облици злоупотребе:  Наплата неправичних  цијена и других услова пословања, Ограничавање понуде, тржишта и техничког развоја не штету потрошача, Примена различитих услова на исте трансакције са различитим уговорним партнерима, Условљавање закључења уговора прихватањем друге стране додатних обавеза које нису у вези са предметом уговора. </w:t>
            </w:r>
          </w:p>
          <w:p w:rsidR="000219E7" w:rsidRDefault="000219E7" w:rsidP="000219E7">
            <w:pPr>
              <w:numPr>
                <w:ilvl w:val="0"/>
                <w:numId w:val="1"/>
              </w:numPr>
              <w:rPr>
                <w:i/>
                <w:color w:val="000000"/>
                <w:sz w:val="18"/>
                <w:szCs w:val="18"/>
              </w:rPr>
            </w:pPr>
            <w:r>
              <w:rPr>
                <w:i/>
                <w:color w:val="000000"/>
                <w:sz w:val="18"/>
                <w:szCs w:val="18"/>
                <w:lang w:val="sr-Cyrl-CS"/>
              </w:rPr>
              <w:t>КОНТРОЛА КОНЦЕНТРАЦИЈА – Појам концентрације, Хоризонталне концентрације, Вертикалне концентрације, Конгломератске концентрације, Разлози</w:t>
            </w:r>
            <w:r>
              <w:rPr>
                <w:rStyle w:val="apple-converted-space"/>
                <w:i/>
                <w:color w:val="000000"/>
                <w:sz w:val="18"/>
                <w:szCs w:val="18"/>
                <w:lang w:val="sr-Cyrl-CS"/>
              </w:rPr>
              <w:t> </w:t>
            </w:r>
            <w:r>
              <w:rPr>
                <w:i/>
                <w:iCs/>
                <w:color w:val="000000"/>
                <w:sz w:val="18"/>
                <w:szCs w:val="18"/>
                <w:lang w:val="pl-PL"/>
              </w:rPr>
              <w:t>ex ante</w:t>
            </w:r>
            <w:r>
              <w:rPr>
                <w:rStyle w:val="apple-converted-space"/>
                <w:i/>
                <w:color w:val="000000"/>
                <w:sz w:val="18"/>
                <w:szCs w:val="18"/>
                <w:lang w:val="pl-PL"/>
              </w:rPr>
              <w:t> </w:t>
            </w:r>
            <w:r>
              <w:rPr>
                <w:i/>
                <w:color w:val="000000"/>
                <w:sz w:val="18"/>
                <w:szCs w:val="18"/>
                <w:lang w:val="sr-Cyrl-CS"/>
              </w:rPr>
              <w:t xml:space="preserve">контроле концентрација, Критеријуми за процјену допуштености концентрације. </w:t>
            </w:r>
          </w:p>
          <w:p w:rsidR="000219E7" w:rsidRDefault="000219E7" w:rsidP="000219E7">
            <w:pPr>
              <w:numPr>
                <w:ilvl w:val="0"/>
                <w:numId w:val="1"/>
              </w:numPr>
              <w:rPr>
                <w:i/>
                <w:color w:val="000000"/>
                <w:sz w:val="18"/>
                <w:szCs w:val="18"/>
              </w:rPr>
            </w:pPr>
            <w:r>
              <w:rPr>
                <w:i/>
                <w:color w:val="000000"/>
                <w:sz w:val="18"/>
                <w:szCs w:val="18"/>
                <w:lang w:val="sr-Cyrl-CS"/>
              </w:rPr>
              <w:t>ПОЛОЖАЈ ЈАВНОГ СЕКТОРА ПРИВРЕДЕ У ПРАВУ КОНКУРЕНЦИЈЕ.</w:t>
            </w:r>
          </w:p>
          <w:p w:rsidR="000219E7" w:rsidRDefault="000219E7" w:rsidP="000219E7">
            <w:pPr>
              <w:numPr>
                <w:ilvl w:val="0"/>
                <w:numId w:val="1"/>
              </w:numPr>
              <w:rPr>
                <w:i/>
                <w:sz w:val="18"/>
                <w:szCs w:val="18"/>
              </w:rPr>
            </w:pPr>
            <w:r>
              <w:rPr>
                <w:i/>
                <w:color w:val="000000"/>
                <w:sz w:val="18"/>
                <w:szCs w:val="18"/>
                <w:lang w:val="sr-Cyrl-CS"/>
              </w:rPr>
              <w:t>ПОСТУПАК ПРЕД ОРГАНИМА ЗА ЗАШТИТУ КОНКУРЕНЦИЈЕ – Конкуренцијски савет, Поступак пред Конкуренцијским савјетом, Управне мјере, Санкције, Судска заштита</w:t>
            </w:r>
          </w:p>
          <w:p w:rsidR="000219E7" w:rsidRDefault="000219E7" w:rsidP="000219E7">
            <w:pPr>
              <w:numPr>
                <w:ilvl w:val="0"/>
                <w:numId w:val="1"/>
              </w:numPr>
              <w:rPr>
                <w:i/>
                <w:sz w:val="20"/>
                <w:szCs w:val="20"/>
              </w:rPr>
            </w:pPr>
            <w:r>
              <w:rPr>
                <w:i/>
                <w:color w:val="000000"/>
                <w:sz w:val="18"/>
                <w:szCs w:val="18"/>
                <w:lang w:val="sr-Cyrl-CS"/>
              </w:rPr>
              <w:t>ГРАЂАНСКОПРАВНА ЗАШТИТА</w:t>
            </w:r>
            <w:r>
              <w:rPr>
                <w:i/>
                <w:sz w:val="18"/>
                <w:szCs w:val="18"/>
              </w:rPr>
              <w:t>.</w:t>
            </w:r>
            <w:r>
              <w:rPr>
                <w:i/>
                <w:sz w:val="20"/>
                <w:szCs w:val="20"/>
              </w:rPr>
              <w:t xml:space="preserve"> </w:t>
            </w:r>
          </w:p>
        </w:tc>
      </w:tr>
      <w:tr w:rsidR="000219E7" w:rsidTr="00B950A4">
        <w:trPr>
          <w:trHeight w:val="994"/>
        </w:trPr>
        <w:tc>
          <w:tcPr>
            <w:tcW w:w="9720" w:type="dxa"/>
            <w:gridSpan w:val="11"/>
            <w:tcBorders>
              <w:top w:val="single" w:sz="4" w:space="0" w:color="auto"/>
              <w:left w:val="single" w:sz="8" w:space="0" w:color="auto"/>
              <w:bottom w:val="single" w:sz="4" w:space="0" w:color="auto"/>
              <w:right w:val="single" w:sz="8" w:space="0" w:color="auto"/>
            </w:tcBorders>
          </w:tcPr>
          <w:p w:rsidR="000219E7" w:rsidRDefault="000219E7" w:rsidP="00B950A4">
            <w:pPr>
              <w:autoSpaceDE w:val="0"/>
              <w:autoSpaceDN w:val="0"/>
              <w:adjustRightInd w:val="0"/>
              <w:rPr>
                <w:i/>
                <w:sz w:val="20"/>
                <w:szCs w:val="20"/>
              </w:rPr>
            </w:pPr>
            <w:r>
              <w:rPr>
                <w:b/>
              </w:rPr>
              <w:t>Литература:</w:t>
            </w:r>
          </w:p>
          <w:p w:rsidR="000219E7" w:rsidRDefault="000219E7" w:rsidP="00B950A4">
            <w:pPr>
              <w:autoSpaceDE w:val="0"/>
              <w:autoSpaceDN w:val="0"/>
              <w:adjustRightInd w:val="0"/>
              <w:jc w:val="both"/>
              <w:rPr>
                <w:sz w:val="20"/>
                <w:szCs w:val="20"/>
              </w:rPr>
            </w:pPr>
            <w:r>
              <w:rPr>
                <w:b/>
                <w:sz w:val="20"/>
                <w:szCs w:val="20"/>
              </w:rPr>
              <w:t xml:space="preserve">Обавезна: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sr-Cyrl-CS"/>
              </w:rPr>
              <w:t>Д. Марковић-Бајаловић,</w:t>
            </w:r>
            <w:r>
              <w:rPr>
                <w:rStyle w:val="apple-converted-space"/>
                <w:i/>
                <w:color w:val="000000"/>
                <w:sz w:val="20"/>
                <w:szCs w:val="20"/>
                <w:lang w:val="sr-Cyrl-CS"/>
              </w:rPr>
              <w:t> </w:t>
            </w:r>
            <w:r>
              <w:rPr>
                <w:i/>
                <w:iCs/>
                <w:color w:val="000000"/>
                <w:sz w:val="20"/>
                <w:szCs w:val="20"/>
                <w:lang w:val="sr-Cyrl-CS"/>
              </w:rPr>
              <w:t>Тржишна моћ предузећа и антимонополско право</w:t>
            </w:r>
            <w:r>
              <w:rPr>
                <w:i/>
                <w:color w:val="000000"/>
                <w:sz w:val="20"/>
                <w:szCs w:val="20"/>
                <w:lang w:val="sr-Cyrl-CS"/>
              </w:rPr>
              <w:t xml:space="preserve">, Београд, 2000. </w:t>
            </w:r>
          </w:p>
          <w:p w:rsidR="000219E7" w:rsidRDefault="000219E7" w:rsidP="00B950A4">
            <w:pPr>
              <w:autoSpaceDE w:val="0"/>
              <w:autoSpaceDN w:val="0"/>
              <w:adjustRightInd w:val="0"/>
              <w:jc w:val="both"/>
              <w:rPr>
                <w:i/>
                <w:color w:val="000000"/>
                <w:sz w:val="20"/>
                <w:szCs w:val="20"/>
                <w:lang w:val="sr-Cyrl-CS"/>
              </w:rPr>
            </w:pPr>
            <w:r>
              <w:rPr>
                <w:i/>
                <w:color w:val="000000"/>
                <w:sz w:val="20"/>
                <w:szCs w:val="20"/>
                <w:lang w:val="ru-RU"/>
              </w:rPr>
              <w:t>Д.</w:t>
            </w:r>
            <w:r>
              <w:rPr>
                <w:rStyle w:val="apple-converted-space"/>
                <w:i/>
                <w:color w:val="000000"/>
                <w:sz w:val="20"/>
                <w:szCs w:val="20"/>
              </w:rPr>
              <w:t> </w:t>
            </w:r>
            <w:r>
              <w:rPr>
                <w:i/>
                <w:color w:val="000000"/>
                <w:sz w:val="20"/>
                <w:szCs w:val="20"/>
                <w:lang w:val="sr-Latn-CS"/>
              </w:rPr>
              <w:t>Марковић Бајаловић, У сусрет новом Закону о заштити конкуренције,</w:t>
            </w:r>
            <w:r>
              <w:rPr>
                <w:rStyle w:val="apple-converted-space"/>
                <w:i/>
                <w:color w:val="000000"/>
                <w:sz w:val="20"/>
                <w:szCs w:val="20"/>
                <w:lang w:val="sr-Latn-CS"/>
              </w:rPr>
              <w:t> </w:t>
            </w:r>
            <w:r>
              <w:rPr>
                <w:i/>
                <w:iCs/>
                <w:color w:val="000000"/>
                <w:sz w:val="20"/>
                <w:szCs w:val="20"/>
                <w:lang w:val="sr-Latn-CS"/>
              </w:rPr>
              <w:t>Зборник Правног факултета у Нишу</w:t>
            </w:r>
            <w:r>
              <w:rPr>
                <w:i/>
                <w:color w:val="000000"/>
                <w:sz w:val="20"/>
                <w:szCs w:val="20"/>
                <w:lang w:val="sr-Latn-CS"/>
              </w:rPr>
              <w:t>, Ниш, 2009.</w:t>
            </w:r>
            <w:r>
              <w:rPr>
                <w:i/>
                <w:color w:val="000000"/>
                <w:sz w:val="20"/>
                <w:szCs w:val="20"/>
                <w:lang w:val="sr-Cyrl-CS"/>
              </w:rPr>
              <w:t xml:space="preserve"> </w:t>
            </w:r>
          </w:p>
          <w:p w:rsidR="000219E7" w:rsidRDefault="000219E7" w:rsidP="00B950A4">
            <w:pPr>
              <w:autoSpaceDE w:val="0"/>
              <w:autoSpaceDN w:val="0"/>
              <w:adjustRightInd w:val="0"/>
              <w:jc w:val="both"/>
              <w:rPr>
                <w:bCs/>
                <w:i/>
                <w:sz w:val="20"/>
                <w:szCs w:val="20"/>
                <w:lang w:val="sr-Cyrl-CS"/>
              </w:rPr>
            </w:pPr>
            <w:r>
              <w:rPr>
                <w:i/>
                <w:color w:val="000000"/>
                <w:sz w:val="20"/>
                <w:szCs w:val="20"/>
                <w:lang w:val="sr-Cyrl-CS"/>
              </w:rPr>
              <w:t>Б. Игњатовић,</w:t>
            </w:r>
            <w:r>
              <w:rPr>
                <w:i/>
                <w:color w:val="000000"/>
                <w:sz w:val="20"/>
                <w:szCs w:val="20"/>
              </w:rPr>
              <w:t xml:space="preserve"> Дефинирање релевантног тржишта и процјена тржишне моћи,</w:t>
            </w:r>
            <w:r>
              <w:rPr>
                <w:i/>
                <w:color w:val="000000"/>
                <w:sz w:val="20"/>
                <w:szCs w:val="20"/>
                <w:lang w:val="sr-Cyrl-CS"/>
              </w:rPr>
              <w:t xml:space="preserve"> </w:t>
            </w:r>
            <w:r>
              <w:rPr>
                <w:i/>
                <w:color w:val="000000"/>
                <w:sz w:val="20"/>
                <w:szCs w:val="20"/>
              </w:rPr>
              <w:t>EUCOMP, 2014</w:t>
            </w:r>
            <w:r>
              <w:rPr>
                <w:bCs/>
                <w:i/>
                <w:iCs/>
                <w:sz w:val="20"/>
                <w:szCs w:val="20"/>
                <w:lang w:val="sr-Cyrl-CS"/>
              </w:rPr>
              <w:t>.</w:t>
            </w:r>
          </w:p>
          <w:p w:rsidR="000219E7" w:rsidRDefault="000219E7" w:rsidP="00B950A4">
            <w:pPr>
              <w:autoSpaceDE w:val="0"/>
              <w:autoSpaceDN w:val="0"/>
              <w:adjustRightInd w:val="0"/>
              <w:jc w:val="both"/>
              <w:rPr>
                <w:i/>
                <w:sz w:val="20"/>
                <w:szCs w:val="20"/>
              </w:rPr>
            </w:pPr>
            <w:r>
              <w:rPr>
                <w:b/>
                <w:sz w:val="20"/>
                <w:szCs w:val="20"/>
              </w:rPr>
              <w:t>Допунска:</w:t>
            </w:r>
          </w:p>
        </w:tc>
      </w:tr>
      <w:tr w:rsidR="000219E7" w:rsidTr="00B950A4">
        <w:tc>
          <w:tcPr>
            <w:tcW w:w="9720" w:type="dxa"/>
            <w:gridSpan w:val="11"/>
            <w:tcBorders>
              <w:top w:val="single" w:sz="4" w:space="0" w:color="auto"/>
              <w:left w:val="single" w:sz="8" w:space="0" w:color="auto"/>
              <w:bottom w:val="single" w:sz="4" w:space="0" w:color="auto"/>
              <w:right w:val="single" w:sz="8" w:space="0" w:color="auto"/>
            </w:tcBorders>
          </w:tcPr>
          <w:p w:rsidR="000219E7" w:rsidRDefault="000219E7" w:rsidP="00B950A4">
            <w:pPr>
              <w:jc w:val="both"/>
              <w:rPr>
                <w:b/>
              </w:rPr>
            </w:pPr>
            <w:r>
              <w:rPr>
                <w:b/>
              </w:rPr>
              <w:t xml:space="preserve">Облици провјере знања и оцјењивање: </w:t>
            </w:r>
            <w:r>
              <w:rPr>
                <w:bCs/>
                <w:i/>
                <w:iCs/>
                <w:color w:val="000000"/>
                <w:sz w:val="20"/>
                <w:szCs w:val="20"/>
              </w:rPr>
              <w:t xml:space="preserve"> Провјера знања и оцјењивање вршиће на основу остварених резултата у току семестра (колоквијуми, семинарски рад, пристуство настави и вјежбама) и завршног испита</w:t>
            </w:r>
            <w:r>
              <w:rPr>
                <w:bCs/>
                <w:i/>
                <w:iCs/>
                <w:sz w:val="20"/>
                <w:szCs w:val="20"/>
                <w:lang w:val="ru-RU"/>
              </w:rPr>
              <w:t>.</w:t>
            </w:r>
          </w:p>
        </w:tc>
      </w:tr>
      <w:tr w:rsidR="000219E7" w:rsidTr="00B950A4">
        <w:trPr>
          <w:trHeight w:val="135"/>
        </w:trPr>
        <w:tc>
          <w:tcPr>
            <w:tcW w:w="9720" w:type="dxa"/>
            <w:gridSpan w:val="11"/>
            <w:tcBorders>
              <w:top w:val="single" w:sz="4" w:space="0" w:color="auto"/>
              <w:left w:val="single" w:sz="8" w:space="0" w:color="auto"/>
              <w:bottom w:val="single" w:sz="4" w:space="0" w:color="auto"/>
              <w:right w:val="single" w:sz="8" w:space="0" w:color="auto"/>
            </w:tcBorders>
          </w:tcPr>
          <w:p w:rsidR="000219E7" w:rsidRPr="00693F3E" w:rsidRDefault="000219E7" w:rsidP="00F57BB2">
            <w:pPr>
              <w:jc w:val="both"/>
              <w:rPr>
                <w:b/>
                <w:lang w:val="sr-Cyrl-BA"/>
              </w:rPr>
            </w:pPr>
            <w:r>
              <w:rPr>
                <w:b/>
              </w:rPr>
              <w:t>Име и презиме наставника:</w:t>
            </w:r>
            <w:r>
              <w:rPr>
                <w:i/>
                <w:sz w:val="20"/>
                <w:szCs w:val="20"/>
              </w:rPr>
              <w:t xml:space="preserve"> </w:t>
            </w:r>
            <w:r>
              <w:rPr>
                <w:i/>
                <w:sz w:val="20"/>
                <w:szCs w:val="20"/>
                <w:lang w:val="sr-Cyrl-CS"/>
              </w:rPr>
              <w:t xml:space="preserve">Проф. др </w:t>
            </w:r>
            <w:r w:rsidR="00F57BB2">
              <w:rPr>
                <w:i/>
                <w:sz w:val="20"/>
                <w:szCs w:val="20"/>
                <w:lang w:val="sr-Cyrl-CS"/>
              </w:rPr>
              <w:t>Страхиња Миљковић</w:t>
            </w:r>
            <w:r w:rsidR="00693F3E">
              <w:rPr>
                <w:i/>
                <w:sz w:val="20"/>
                <w:szCs w:val="20"/>
                <w:lang w:val="sr-Cyrl-BA"/>
              </w:rPr>
              <w:t>; Доц. др Дамјан Даниловић.</w:t>
            </w:r>
            <w:bookmarkStart w:id="0" w:name="_GoBack"/>
            <w:bookmarkEnd w:id="0"/>
          </w:p>
        </w:tc>
      </w:tr>
      <w:tr w:rsidR="000219E7" w:rsidTr="00B950A4">
        <w:trPr>
          <w:trHeight w:val="135"/>
        </w:trPr>
        <w:tc>
          <w:tcPr>
            <w:tcW w:w="9720" w:type="dxa"/>
            <w:gridSpan w:val="11"/>
            <w:tcBorders>
              <w:top w:val="single" w:sz="4" w:space="0" w:color="auto"/>
              <w:left w:val="single" w:sz="8" w:space="0" w:color="auto"/>
              <w:bottom w:val="single" w:sz="18" w:space="0" w:color="auto"/>
              <w:right w:val="single" w:sz="8" w:space="0" w:color="auto"/>
            </w:tcBorders>
          </w:tcPr>
          <w:p w:rsidR="000219E7" w:rsidRDefault="000219E7" w:rsidP="00B950A4">
            <w:pPr>
              <w:rPr>
                <w:b/>
              </w:rPr>
            </w:pPr>
            <w:r>
              <w:rPr>
                <w:b/>
              </w:rPr>
              <w:t xml:space="preserve">Посебна напомена за предмет: </w:t>
            </w:r>
            <w:r>
              <w:rPr>
                <w:i/>
                <w:sz w:val="20"/>
                <w:szCs w:val="20"/>
              </w:rPr>
              <w:t>Без посебних назнака.</w:t>
            </w:r>
          </w:p>
        </w:tc>
      </w:tr>
    </w:tbl>
    <w:p w:rsidR="00EB023D" w:rsidRDefault="00693F3E"/>
    <w:sectPr w:rsidR="00EB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459DF"/>
    <w:multiLevelType w:val="hybridMultilevel"/>
    <w:tmpl w:val="437656C6"/>
    <w:lvl w:ilvl="0" w:tplc="7D2C8400">
      <w:start w:val="1"/>
      <w:numFmt w:val="decimal"/>
      <w:lvlText w:val="%1."/>
      <w:lvlJc w:val="left"/>
      <w:pPr>
        <w:ind w:left="720" w:hanging="360"/>
      </w:pPr>
      <w:rPr>
        <w:b w:val="0"/>
        <w:i w:val="0"/>
        <w:color w:val="auto"/>
        <w:sz w:val="24"/>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E7"/>
    <w:rsid w:val="000219E7"/>
    <w:rsid w:val="00693F3E"/>
    <w:rsid w:val="006A021C"/>
    <w:rsid w:val="009E7C6F"/>
    <w:rsid w:val="00F57BB2"/>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SANJA</cp:lastModifiedBy>
  <cp:revision>5</cp:revision>
  <dcterms:created xsi:type="dcterms:W3CDTF">2022-12-07T08:39:00Z</dcterms:created>
  <dcterms:modified xsi:type="dcterms:W3CDTF">2023-11-25T23:26:00Z</dcterms:modified>
</cp:coreProperties>
</file>