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100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9"/>
        <w:gridCol w:w="355"/>
        <w:gridCol w:w="888"/>
        <w:gridCol w:w="1294"/>
        <w:gridCol w:w="563"/>
        <w:gridCol w:w="676"/>
        <w:gridCol w:w="894"/>
        <w:gridCol w:w="56"/>
        <w:gridCol w:w="945"/>
        <w:gridCol w:w="1800"/>
      </w:tblGrid>
      <w:tr w:rsidR="00B96478" w:rsidTr="00B96478">
        <w:tc>
          <w:tcPr>
            <w:tcW w:w="16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96478" w:rsidRDefault="00B96478">
            <w:pPr>
              <w:pageBreakBefore/>
              <w:rPr>
                <w:b/>
                <w:lang w:val="sr-Cyrl-BA"/>
              </w:rPr>
            </w:pPr>
            <w:bookmarkStart w:id="0" w:name="_GoBack"/>
            <w:bookmarkEnd w:id="0"/>
            <w:r>
              <w:rPr>
                <w:b/>
                <w:lang w:val="sr-Cyrl-BA"/>
              </w:rPr>
              <w:t>Пун назив</w:t>
            </w:r>
          </w:p>
        </w:tc>
        <w:tc>
          <w:tcPr>
            <w:tcW w:w="8040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pageBreakBefore/>
              <w:jc w:val="center"/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КОЛЕКТИВНИ УГОВОРИ О РАДУ</w:t>
            </w:r>
          </w:p>
        </w:tc>
      </w:tr>
      <w:tr w:rsidR="00B96478" w:rsidTr="00B96478">
        <w:trPr>
          <w:trHeight w:val="360"/>
        </w:trPr>
        <w:tc>
          <w:tcPr>
            <w:tcW w:w="2249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96478" w:rsidRDefault="00B9647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Скраћени назив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96478" w:rsidRDefault="00B9647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Статус</w:t>
            </w:r>
          </w:p>
        </w:tc>
        <w:tc>
          <w:tcPr>
            <w:tcW w:w="2533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96478" w:rsidRDefault="00B9647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96478" w:rsidRDefault="00B9647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ECTS</w:t>
            </w:r>
          </w:p>
        </w:tc>
        <w:tc>
          <w:tcPr>
            <w:tcW w:w="2801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6478" w:rsidRDefault="00B9647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Фонд часова (П+В)</w:t>
            </w:r>
          </w:p>
        </w:tc>
      </w:tr>
      <w:tr w:rsidR="00B96478" w:rsidTr="00B96478"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B96478" w:rsidRDefault="00B96478">
            <w:pPr>
              <w:jc w:val="center"/>
              <w:rPr>
                <w:lang w:val="sr-Cyrl-BA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6478" w:rsidRDefault="00B96478">
            <w:pPr>
              <w:jc w:val="center"/>
            </w:pPr>
            <w:r>
              <w:t xml:space="preserve">Изборни 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B96478" w:rsidRDefault="00B96478">
            <w:pPr>
              <w:tabs>
                <w:tab w:val="center" w:pos="1158"/>
              </w:tabs>
              <w:rPr>
                <w:lang w:val="sr-Cyrl-BA"/>
              </w:rPr>
            </w:pPr>
            <w:r>
              <w:t xml:space="preserve">IX (M–I) или </w:t>
            </w:r>
            <w:r>
              <w:tab/>
              <w:t>X (M–II)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B96478" w:rsidRDefault="00B964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 xml:space="preserve"> 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 xml:space="preserve"> В</w:t>
            </w:r>
          </w:p>
        </w:tc>
      </w:tr>
      <w:tr w:rsidR="00B96478" w:rsidTr="00B96478">
        <w:tc>
          <w:tcPr>
            <w:tcW w:w="260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96478" w:rsidRDefault="00B9647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 предмета</w:t>
            </w:r>
          </w:p>
        </w:tc>
        <w:tc>
          <w:tcPr>
            <w:tcW w:w="21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B96478" w:rsidRDefault="00B96478">
            <w:pPr>
              <w:jc w:val="center"/>
              <w:rPr>
                <w:lang w:val="sr-Cyrl-BA"/>
              </w:rPr>
            </w:pPr>
          </w:p>
        </w:tc>
        <w:tc>
          <w:tcPr>
            <w:tcW w:w="2189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478" w:rsidRDefault="00B96478">
            <w:pPr>
              <w:jc w:val="center"/>
              <w:rPr>
                <w:lang w:val="sr-Cyrl-BA"/>
              </w:rPr>
            </w:pPr>
          </w:p>
        </w:tc>
        <w:tc>
          <w:tcPr>
            <w:tcW w:w="274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96478" w:rsidRDefault="00B96478">
            <w:pPr>
              <w:jc w:val="center"/>
              <w:rPr>
                <w:lang w:val="sr-Cyrl-BA"/>
              </w:rPr>
            </w:pPr>
          </w:p>
        </w:tc>
      </w:tr>
      <w:tr w:rsidR="00B96478" w:rsidTr="00B96478">
        <w:tc>
          <w:tcPr>
            <w:tcW w:w="5349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96478" w:rsidRDefault="00B9647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 од које се програм реализује</w:t>
            </w:r>
          </w:p>
        </w:tc>
        <w:tc>
          <w:tcPr>
            <w:tcW w:w="437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rPr>
                <w:b/>
                <w:i/>
                <w:lang w:val="sr-Cyrl-BA"/>
              </w:rPr>
            </w:pPr>
            <w:r>
              <w:rPr>
                <w:b/>
                <w:i/>
                <w:lang w:val="sr-Cyrl-BA"/>
              </w:rPr>
              <w:t>201</w:t>
            </w:r>
            <w:r>
              <w:rPr>
                <w:b/>
                <w:i/>
              </w:rPr>
              <w:t>5</w:t>
            </w:r>
            <w:r>
              <w:rPr>
                <w:b/>
                <w:i/>
                <w:lang w:val="sr-Cyrl-BA"/>
              </w:rPr>
              <w:t>/201</w:t>
            </w:r>
            <w:r>
              <w:rPr>
                <w:b/>
                <w:i/>
              </w:rPr>
              <w:t>6</w:t>
            </w:r>
            <w:r>
              <w:rPr>
                <w:b/>
                <w:i/>
                <w:lang w:val="sr-Cyrl-BA"/>
              </w:rPr>
              <w:t>.</w:t>
            </w:r>
          </w:p>
        </w:tc>
      </w:tr>
      <w:tr w:rsidR="00B96478" w:rsidTr="00B96478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rPr>
                <w:i/>
                <w:sz w:val="20"/>
                <w:szCs w:val="20"/>
              </w:rPr>
            </w:pPr>
            <w:r>
              <w:rPr>
                <w:b/>
                <w:lang w:val="sr-Cyrl-BA"/>
              </w:rPr>
              <w:t xml:space="preserve">Врста и ниво студија, студијски програми: </w:t>
            </w:r>
            <w:r>
              <w:rPr>
                <w:i/>
                <w:sz w:val="20"/>
                <w:szCs w:val="20"/>
                <w:lang w:val="sr-Cyrl-BA"/>
              </w:rPr>
              <w:t xml:space="preserve"> </w:t>
            </w:r>
            <w:r>
              <w:rPr>
                <w:i/>
                <w:sz w:val="20"/>
                <w:szCs w:val="20"/>
              </w:rPr>
              <w:t>Дипломске академске студије – МАСТЕР. Студијски програм: Јавно право.</w:t>
            </w:r>
          </w:p>
        </w:tc>
      </w:tr>
      <w:tr w:rsidR="00B96478" w:rsidTr="00B96478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lang w:val="sr-Cyrl-BA"/>
              </w:rPr>
              <w:t>Условљеност другим предметима:</w:t>
            </w:r>
            <w:r>
              <w:rPr>
                <w:i/>
                <w:sz w:val="20"/>
                <w:szCs w:val="20"/>
                <w:lang w:val="sr-Cyrl-BA"/>
              </w:rPr>
              <w:t xml:space="preserve">  Нема услова за пријављивање и слушање предмета.</w:t>
            </w:r>
          </w:p>
        </w:tc>
      </w:tr>
      <w:tr w:rsidR="00B96478" w:rsidTr="00B96478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jc w:val="both"/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lang w:val="sr-Cyrl-BA"/>
              </w:rPr>
              <w:t>Циљеви изучавања предмета:</w:t>
            </w:r>
            <w:r>
              <w:rPr>
                <w:i/>
                <w:sz w:val="20"/>
                <w:szCs w:val="20"/>
                <w:lang w:val="sr-Cyrl-BA"/>
              </w:rPr>
              <w:t xml:space="preserve"> Стицање нових </w:t>
            </w:r>
            <w:r>
              <w:rPr>
                <w:i/>
                <w:sz w:val="20"/>
                <w:szCs w:val="20"/>
              </w:rPr>
              <w:t xml:space="preserve">научних сазнања </w:t>
            </w:r>
            <w:r>
              <w:rPr>
                <w:i/>
                <w:sz w:val="20"/>
                <w:szCs w:val="20"/>
                <w:lang w:val="sr-Cyrl-BA"/>
              </w:rPr>
              <w:t>о појму, претпоставкама и филозофији права на колективно преговарање</w:t>
            </w:r>
            <w:r>
              <w:rPr>
                <w:i/>
                <w:sz w:val="20"/>
                <w:szCs w:val="20"/>
              </w:rPr>
              <w:t xml:space="preserve">; анализа </w:t>
            </w:r>
            <w:r>
              <w:rPr>
                <w:i/>
                <w:sz w:val="20"/>
                <w:szCs w:val="20"/>
                <w:lang w:val="sr-Cyrl-BA"/>
              </w:rPr>
              <w:t>настанка и развоја колективног преговарања у свијету и код нас</w:t>
            </w:r>
            <w:r>
              <w:rPr>
                <w:i/>
                <w:sz w:val="20"/>
                <w:szCs w:val="20"/>
              </w:rPr>
              <w:t xml:space="preserve">; анализа позитивноправних рјешења </w:t>
            </w:r>
            <w:r>
              <w:rPr>
                <w:i/>
                <w:sz w:val="20"/>
                <w:szCs w:val="20"/>
                <w:lang w:val="sr-Cyrl-BA"/>
              </w:rPr>
              <w:t>колективног преговарања, односно колективних уговора о раду</w:t>
            </w:r>
            <w:r>
              <w:rPr>
                <w:i/>
                <w:sz w:val="20"/>
                <w:szCs w:val="20"/>
              </w:rPr>
              <w:t xml:space="preserve"> у Босни и Херцеговини и другим бившим југословенским државама; стицање знања </w:t>
            </w:r>
            <w:r>
              <w:rPr>
                <w:i/>
                <w:sz w:val="20"/>
                <w:szCs w:val="20"/>
                <w:lang w:val="sr-Cyrl-BA"/>
              </w:rPr>
              <w:t>о механизмима</w:t>
            </w:r>
            <w:r>
              <w:rPr>
                <w:i/>
                <w:sz w:val="20"/>
                <w:szCs w:val="20"/>
              </w:rPr>
              <w:t xml:space="preserve"> за остваривање и заштиту </w:t>
            </w:r>
            <w:r>
              <w:rPr>
                <w:i/>
                <w:sz w:val="20"/>
                <w:szCs w:val="20"/>
                <w:lang w:val="sr-Cyrl-BA"/>
              </w:rPr>
              <w:t>права из колективних уговора о раду.</w:t>
            </w:r>
          </w:p>
        </w:tc>
      </w:tr>
      <w:tr w:rsidR="00B96478" w:rsidTr="00B96478">
        <w:trPr>
          <w:trHeight w:val="135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Исходи учења: </w:t>
            </w:r>
            <w:r>
              <w:rPr>
                <w:i/>
                <w:sz w:val="20"/>
                <w:szCs w:val="20"/>
              </w:rPr>
              <w:t xml:space="preserve">Студенти стичу знања о принципима и институтима </w:t>
            </w:r>
            <w:r>
              <w:rPr>
                <w:i/>
                <w:sz w:val="20"/>
                <w:szCs w:val="20"/>
                <w:lang w:val="sr-Cyrl-BA"/>
              </w:rPr>
              <w:t xml:space="preserve"> права на колективно преговарање</w:t>
            </w:r>
            <w:r>
              <w:rPr>
                <w:i/>
                <w:sz w:val="20"/>
                <w:szCs w:val="20"/>
              </w:rPr>
              <w:t xml:space="preserve">; упознају се са њиховим историјским развојем и теоријским значењем, различитим теоријским схватањима, предностима и недостацима појединих рјешења; упознају позитивноправне прописе у Босни и Херцеговини и другим бившим југословенским државама;  </w:t>
            </w:r>
            <w:r>
              <w:rPr>
                <w:i/>
                <w:sz w:val="20"/>
                <w:szCs w:val="20"/>
                <w:lang w:val="sr-Cyrl-BA"/>
              </w:rPr>
              <w:t>стичу знања о поступцима</w:t>
            </w:r>
            <w:r>
              <w:rPr>
                <w:i/>
                <w:sz w:val="20"/>
                <w:szCs w:val="20"/>
              </w:rPr>
              <w:t xml:space="preserve"> остваривањ</w:t>
            </w:r>
            <w:r>
              <w:rPr>
                <w:i/>
                <w:sz w:val="20"/>
                <w:szCs w:val="20"/>
                <w:lang w:val="sr-Cyrl-BA"/>
              </w:rPr>
              <w:t>а</w:t>
            </w:r>
            <w:r>
              <w:rPr>
                <w:i/>
                <w:sz w:val="20"/>
                <w:szCs w:val="20"/>
              </w:rPr>
              <w:t xml:space="preserve"> и заштит</w:t>
            </w:r>
            <w:r>
              <w:rPr>
                <w:i/>
                <w:sz w:val="20"/>
                <w:szCs w:val="20"/>
                <w:lang w:val="sr-Cyrl-BA"/>
              </w:rPr>
              <w:t>е права из колективних уговора о раду.</w:t>
            </w:r>
          </w:p>
        </w:tc>
      </w:tr>
      <w:tr w:rsidR="00B96478" w:rsidTr="00B96478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jc w:val="both"/>
              <w:rPr>
                <w:i/>
                <w:sz w:val="20"/>
                <w:szCs w:val="20"/>
                <w:lang w:val="sr-Cyrl-BA"/>
              </w:rPr>
            </w:pPr>
            <w:r>
              <w:rPr>
                <w:b/>
                <w:lang w:val="sr-Cyrl-BA"/>
              </w:rPr>
              <w:t>Метод наставе и савладавање градива:</w:t>
            </w:r>
            <w:r>
              <w:rPr>
                <w:i/>
                <w:sz w:val="20"/>
                <w:szCs w:val="20"/>
                <w:lang w:val="sr-Cyrl-BA"/>
              </w:rPr>
              <w:t xml:space="preserve"> Предавања, вјежбе, часови семинара (презентација и анализа семинарских радова студената)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  <w:lang w:val="sr-Cyrl-BA"/>
              </w:rPr>
              <w:t xml:space="preserve"> индивидуалне консултације, истраживачки пројекти (рад студената у истраживачким групама).</w:t>
            </w:r>
          </w:p>
        </w:tc>
      </w:tr>
      <w:tr w:rsidR="00B96478" w:rsidTr="00B96478">
        <w:trPr>
          <w:trHeight w:val="2025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6478" w:rsidRDefault="00B9647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Садржај предмета: </w:t>
            </w:r>
          </w:p>
          <w:p w:rsidR="00B96478" w:rsidRDefault="00B96478">
            <w:pPr>
              <w:jc w:val="both"/>
              <w:rPr>
                <w:i/>
                <w:sz w:val="20"/>
                <w:szCs w:val="20"/>
                <w:lang w:val="sr-Cyrl-BA"/>
              </w:rPr>
            </w:pPr>
            <w:r>
              <w:rPr>
                <w:i/>
                <w:sz w:val="20"/>
                <w:szCs w:val="20"/>
                <w:lang w:val="sr-Cyrl-BA"/>
              </w:rPr>
              <w:t xml:space="preserve">Појам, претпоставке и филозофија права на колективно преговарање; Механизам преговарања; Настанак и развој колективног преговарања;  Предмет колективног преговарања (Облигациони дио колективног уговора – Клаузуле синдикалне сигурности, Клаузуле очувања радног мира, Клаузула утицаја на чланство, Клаузула продужења важности колективног уговора о раду, Клаузула о ограничавању висине накнаде штете у случају незаконитог штрајка; Нормативни дио колективног уговора о раду; Проширење дејства колективног уговора о раду); Врсте колективних уговора о раду (Европски колективни уговори о раду; Међународни оквирни колективни уговор); Међусобни однос колективних уговора о раду (Сукоб надлежности – координација нивоа преговарања; Сукоби регулисања – конкуренција нивоа преговаеања); Однос између колективног и индивидуалног уговора о раду (Однос између индивидуалног и колективног уговора о раду у административном социјализму; Дејство ratione personae – члан синдиката или сви запослени); Правна природа колективних уговора о раду (Уговорне теорије; Статусне теорије; Мјешовите или теорије дуплицитета); Правна природа проширеног колективног уговора о раду; Правна обавезност колективног уговора о раду (Нормативно дејство; Уговорно дејство; Објављивање колективних уговора о раду).  </w:t>
            </w:r>
          </w:p>
          <w:p w:rsidR="00B96478" w:rsidRDefault="00B96478">
            <w:pPr>
              <w:jc w:val="both"/>
              <w:rPr>
                <w:i/>
                <w:sz w:val="20"/>
                <w:szCs w:val="20"/>
                <w:lang w:val="sr-Cyrl-BA"/>
              </w:rPr>
            </w:pPr>
          </w:p>
        </w:tc>
      </w:tr>
      <w:tr w:rsidR="00B96478" w:rsidTr="00B96478">
        <w:trPr>
          <w:trHeight w:val="3068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6478" w:rsidRDefault="00B96478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b/>
                <w:lang w:val="sr-Cyrl-BA"/>
              </w:rPr>
              <w:t>Литература:</w:t>
            </w: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BA"/>
              </w:rPr>
              <w:t xml:space="preserve">Обавезна: </w:t>
            </w: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Петровић, Александар, </w:t>
            </w:r>
            <w:r>
              <w:rPr>
                <w:i/>
                <w:sz w:val="20"/>
                <w:szCs w:val="20"/>
                <w:lang w:val="sr-Cyrl-BA"/>
              </w:rPr>
              <w:t>Међународни стандарди рада</w:t>
            </w:r>
            <w:r>
              <w:rPr>
                <w:sz w:val="20"/>
                <w:szCs w:val="20"/>
                <w:lang w:val="sr-Cyrl-BA"/>
              </w:rPr>
              <w:t>, Правни факултет у Нишу, Ниш 2009.</w:t>
            </w: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Лубарда А., Бранко, </w:t>
            </w:r>
            <w:r>
              <w:rPr>
                <w:i/>
                <w:sz w:val="20"/>
                <w:szCs w:val="20"/>
                <w:lang w:val="sr-Cyrl-BA"/>
              </w:rPr>
              <w:t>Радно право – Расправа о достојанству на раду и социјалном дијалогу</w:t>
            </w:r>
            <w:r>
              <w:rPr>
                <w:sz w:val="20"/>
                <w:szCs w:val="20"/>
                <w:lang w:val="sr-Cyrl-BA"/>
              </w:rPr>
              <w:t>, Правни факултет Универзитета у Београду, Београд 2012.</w:t>
            </w: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BA"/>
              </w:rPr>
              <w:t>Допунска:</w:t>
            </w: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Јовановић, Предраг, </w:t>
            </w:r>
            <w:r>
              <w:rPr>
                <w:i/>
                <w:sz w:val="20"/>
                <w:szCs w:val="20"/>
                <w:lang w:val="sr-Cyrl-BA"/>
              </w:rPr>
              <w:t>Радно право</w:t>
            </w:r>
            <w:r>
              <w:rPr>
                <w:sz w:val="20"/>
                <w:szCs w:val="20"/>
                <w:lang w:val="sr-Cyrl-BA"/>
              </w:rPr>
              <w:t>, Правни факултет у Новом Саду, Нови Сад 2018.</w:t>
            </w:r>
          </w:p>
          <w:p w:rsidR="00B96478" w:rsidRDefault="00B964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Равнић, Антон, </w:t>
            </w:r>
            <w:r>
              <w:rPr>
                <w:i/>
                <w:sz w:val="20"/>
                <w:szCs w:val="20"/>
                <w:lang w:val="sr-Cyrl-BA"/>
              </w:rPr>
              <w:t>Основе радног права – домаћег, успоредног и међународног</w:t>
            </w:r>
            <w:r>
              <w:rPr>
                <w:sz w:val="20"/>
                <w:szCs w:val="20"/>
                <w:lang w:val="sr-Cyrl-BA"/>
              </w:rPr>
              <w:t>, Правни факултет у Загребу, Загреб 2004.</w:t>
            </w:r>
          </w:p>
        </w:tc>
      </w:tr>
      <w:tr w:rsidR="00B96478" w:rsidTr="00B96478"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6478" w:rsidRDefault="00B9647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Облици провјере знања и оцјењивање: </w:t>
            </w:r>
            <w:r>
              <w:rPr>
                <w:i/>
                <w:sz w:val="20"/>
                <w:szCs w:val="20"/>
                <w:lang w:val="sr-Cyrl-BA"/>
              </w:rPr>
              <w:t xml:space="preserve">Семинарски радови, колоквијуми, вјежбе, </w:t>
            </w:r>
            <w:r>
              <w:rPr>
                <w:i/>
                <w:sz w:val="20"/>
                <w:szCs w:val="20"/>
              </w:rPr>
              <w:t>усмени завршни</w:t>
            </w:r>
            <w:r>
              <w:rPr>
                <w:i/>
                <w:sz w:val="20"/>
                <w:szCs w:val="20"/>
                <w:lang w:val="sr-Cyrl-BA"/>
              </w:rPr>
              <w:t xml:space="preserve"> испит.</w:t>
            </w:r>
          </w:p>
        </w:tc>
      </w:tr>
      <w:tr w:rsidR="00B96478" w:rsidTr="00B96478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6478" w:rsidRDefault="00B96478" w:rsidP="00B9647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Име и презиме наставника:</w:t>
            </w:r>
            <w:r>
              <w:rPr>
                <w:i/>
                <w:sz w:val="20"/>
                <w:szCs w:val="20"/>
                <w:lang w:val="sr-Cyrl-BA"/>
              </w:rPr>
              <w:t xml:space="preserve"> Проф. др Радислав Лале</w:t>
            </w:r>
          </w:p>
        </w:tc>
      </w:tr>
      <w:tr w:rsidR="00B96478" w:rsidTr="00B96478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hideMark/>
          </w:tcPr>
          <w:p w:rsidR="00B96478" w:rsidRDefault="00B96478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Посебна напомена за предмет: </w:t>
            </w:r>
            <w:r>
              <w:rPr>
                <w:i/>
                <w:sz w:val="20"/>
                <w:szCs w:val="20"/>
                <w:lang w:val="sr-Cyrl-BA"/>
              </w:rPr>
              <w:t xml:space="preserve"> Без посебних назнака.</w:t>
            </w:r>
          </w:p>
        </w:tc>
      </w:tr>
    </w:tbl>
    <w:p w:rsidR="00EC5DE4" w:rsidRPr="00B96478" w:rsidRDefault="00760E7D">
      <w:pPr>
        <w:rPr>
          <w:lang w:val="sr-Cyrl-BA"/>
        </w:rPr>
      </w:pPr>
    </w:p>
    <w:sectPr w:rsidR="00EC5DE4" w:rsidRPr="00B96478" w:rsidSect="00BC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78"/>
    <w:rsid w:val="00260E08"/>
    <w:rsid w:val="00760E7D"/>
    <w:rsid w:val="00831341"/>
    <w:rsid w:val="00B96478"/>
    <w:rsid w:val="00BC13FC"/>
    <w:rsid w:val="00C5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Kinel</dc:creator>
  <cp:lastModifiedBy>Korisnik</cp:lastModifiedBy>
  <cp:revision>2</cp:revision>
  <dcterms:created xsi:type="dcterms:W3CDTF">2022-11-14T08:28:00Z</dcterms:created>
  <dcterms:modified xsi:type="dcterms:W3CDTF">2022-11-14T08:28:00Z</dcterms:modified>
</cp:coreProperties>
</file>