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Spec="center" w:tblpY="100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569"/>
        <w:gridCol w:w="355"/>
        <w:gridCol w:w="888"/>
        <w:gridCol w:w="1294"/>
        <w:gridCol w:w="563"/>
        <w:gridCol w:w="676"/>
        <w:gridCol w:w="894"/>
        <w:gridCol w:w="56"/>
        <w:gridCol w:w="945"/>
        <w:gridCol w:w="1800"/>
      </w:tblGrid>
      <w:tr w:rsidR="00EB7A29" w:rsidTr="00B950A4">
        <w:tc>
          <w:tcPr>
            <w:tcW w:w="1680" w:type="dxa"/>
            <w:tcBorders>
              <w:top w:val="single" w:sz="18" w:space="0" w:color="auto"/>
              <w:left w:val="single" w:sz="8" w:space="0" w:color="auto"/>
              <w:bottom w:val="single" w:sz="18" w:space="0" w:color="auto"/>
              <w:right w:val="single" w:sz="4" w:space="0" w:color="auto"/>
            </w:tcBorders>
            <w:vAlign w:val="center"/>
          </w:tcPr>
          <w:p w:rsidR="00EB7A29" w:rsidRDefault="00EB7A29" w:rsidP="00B950A4">
            <w:pPr>
              <w:pageBreakBefore/>
              <w:rPr>
                <w:b/>
              </w:rPr>
            </w:pPr>
            <w:r>
              <w:rPr>
                <w:b/>
              </w:rPr>
              <w:t>Пун назив</w:t>
            </w:r>
          </w:p>
        </w:tc>
        <w:tc>
          <w:tcPr>
            <w:tcW w:w="8040" w:type="dxa"/>
            <w:gridSpan w:val="10"/>
            <w:tcBorders>
              <w:top w:val="single" w:sz="18" w:space="0" w:color="auto"/>
              <w:left w:val="single" w:sz="4" w:space="0" w:color="auto"/>
              <w:bottom w:val="single" w:sz="18" w:space="0" w:color="auto"/>
              <w:right w:val="single" w:sz="8" w:space="0" w:color="auto"/>
            </w:tcBorders>
          </w:tcPr>
          <w:p w:rsidR="00EB7A29" w:rsidRDefault="00EB7A29" w:rsidP="00B950A4">
            <w:pPr>
              <w:pageBreakBefore/>
              <w:jc w:val="center"/>
            </w:pPr>
            <w:r>
              <w:rPr>
                <w:b/>
                <w:sz w:val="22"/>
                <w:szCs w:val="22"/>
              </w:rPr>
              <w:t>БЕРЗАНСКО ПРАВО</w:t>
            </w:r>
          </w:p>
        </w:tc>
      </w:tr>
      <w:tr w:rsidR="00EB7A29" w:rsidTr="00B950A4">
        <w:trPr>
          <w:trHeight w:val="360"/>
        </w:trPr>
        <w:tc>
          <w:tcPr>
            <w:tcW w:w="2249" w:type="dxa"/>
            <w:gridSpan w:val="2"/>
            <w:tcBorders>
              <w:top w:val="single" w:sz="18" w:space="0" w:color="auto"/>
              <w:left w:val="single" w:sz="8" w:space="0" w:color="auto"/>
              <w:bottom w:val="single" w:sz="4" w:space="0" w:color="auto"/>
              <w:right w:val="single" w:sz="12" w:space="0" w:color="auto"/>
            </w:tcBorders>
          </w:tcPr>
          <w:p w:rsidR="00EB7A29" w:rsidRDefault="00EB7A29" w:rsidP="00B950A4">
            <w:pPr>
              <w:jc w:val="center"/>
              <w:rPr>
                <w:b/>
              </w:rPr>
            </w:pPr>
            <w:r>
              <w:rPr>
                <w:b/>
              </w:rPr>
              <w:t>Скраћени назив</w:t>
            </w:r>
          </w:p>
        </w:tc>
        <w:tc>
          <w:tcPr>
            <w:tcW w:w="1243" w:type="dxa"/>
            <w:gridSpan w:val="2"/>
            <w:tcBorders>
              <w:top w:val="single" w:sz="12" w:space="0" w:color="auto"/>
              <w:left w:val="single" w:sz="12" w:space="0" w:color="auto"/>
              <w:bottom w:val="single" w:sz="4" w:space="0" w:color="auto"/>
              <w:right w:val="single" w:sz="12" w:space="0" w:color="auto"/>
            </w:tcBorders>
          </w:tcPr>
          <w:p w:rsidR="00EB7A29" w:rsidRDefault="00EB7A29" w:rsidP="00B950A4">
            <w:pPr>
              <w:jc w:val="center"/>
              <w:rPr>
                <w:b/>
              </w:rPr>
            </w:pPr>
            <w:r>
              <w:rPr>
                <w:b/>
              </w:rPr>
              <w:t>Статус</w:t>
            </w:r>
          </w:p>
        </w:tc>
        <w:tc>
          <w:tcPr>
            <w:tcW w:w="2533" w:type="dxa"/>
            <w:gridSpan w:val="3"/>
            <w:tcBorders>
              <w:top w:val="single" w:sz="18" w:space="0" w:color="auto"/>
              <w:left w:val="single" w:sz="12" w:space="0" w:color="auto"/>
              <w:bottom w:val="single" w:sz="4" w:space="0" w:color="auto"/>
              <w:right w:val="single" w:sz="12" w:space="0" w:color="auto"/>
            </w:tcBorders>
          </w:tcPr>
          <w:p w:rsidR="00EB7A29" w:rsidRDefault="00EB7A29" w:rsidP="00B950A4">
            <w:pPr>
              <w:jc w:val="center"/>
              <w:rPr>
                <w:b/>
              </w:rPr>
            </w:pPr>
            <w:r>
              <w:rPr>
                <w:b/>
              </w:rPr>
              <w:t>Семестар</w:t>
            </w:r>
          </w:p>
        </w:tc>
        <w:tc>
          <w:tcPr>
            <w:tcW w:w="894" w:type="dxa"/>
            <w:tcBorders>
              <w:top w:val="single" w:sz="18" w:space="0" w:color="auto"/>
              <w:left w:val="single" w:sz="12" w:space="0" w:color="auto"/>
              <w:bottom w:val="single" w:sz="4" w:space="0" w:color="auto"/>
              <w:right w:val="single" w:sz="12" w:space="0" w:color="auto"/>
            </w:tcBorders>
          </w:tcPr>
          <w:p w:rsidR="00EB7A29" w:rsidRDefault="00EB7A29" w:rsidP="00B950A4">
            <w:pPr>
              <w:jc w:val="center"/>
              <w:rPr>
                <w:b/>
              </w:rPr>
            </w:pPr>
            <w:r>
              <w:rPr>
                <w:b/>
              </w:rPr>
              <w:t>ECTS</w:t>
            </w:r>
          </w:p>
        </w:tc>
        <w:tc>
          <w:tcPr>
            <w:tcW w:w="2801" w:type="dxa"/>
            <w:gridSpan w:val="3"/>
            <w:tcBorders>
              <w:top w:val="single" w:sz="18" w:space="0" w:color="auto"/>
              <w:left w:val="single" w:sz="12" w:space="0" w:color="auto"/>
              <w:bottom w:val="single" w:sz="4" w:space="0" w:color="auto"/>
              <w:right w:val="single" w:sz="8" w:space="0" w:color="auto"/>
            </w:tcBorders>
          </w:tcPr>
          <w:p w:rsidR="00EB7A29" w:rsidRDefault="00EB7A29" w:rsidP="00B950A4">
            <w:pPr>
              <w:jc w:val="center"/>
              <w:rPr>
                <w:b/>
              </w:rPr>
            </w:pPr>
            <w:r>
              <w:rPr>
                <w:b/>
              </w:rPr>
              <w:t>Фонд часова (П + В)</w:t>
            </w:r>
          </w:p>
        </w:tc>
      </w:tr>
      <w:tr w:rsidR="00EB7A29" w:rsidTr="00B950A4">
        <w:tc>
          <w:tcPr>
            <w:tcW w:w="2249" w:type="dxa"/>
            <w:gridSpan w:val="2"/>
            <w:tcBorders>
              <w:top w:val="single" w:sz="4" w:space="0" w:color="auto"/>
              <w:left w:val="single" w:sz="8" w:space="0" w:color="auto"/>
              <w:bottom w:val="single" w:sz="18" w:space="0" w:color="auto"/>
              <w:right w:val="single" w:sz="12" w:space="0" w:color="auto"/>
            </w:tcBorders>
          </w:tcPr>
          <w:p w:rsidR="00EB7A29" w:rsidRDefault="00EB7A29" w:rsidP="00B950A4">
            <w:pPr>
              <w:jc w:val="center"/>
            </w:pPr>
          </w:p>
        </w:tc>
        <w:tc>
          <w:tcPr>
            <w:tcW w:w="1243" w:type="dxa"/>
            <w:gridSpan w:val="2"/>
            <w:tcBorders>
              <w:top w:val="single" w:sz="4" w:space="0" w:color="auto"/>
              <w:left w:val="single" w:sz="12" w:space="0" w:color="auto"/>
              <w:bottom w:val="single" w:sz="12" w:space="0" w:color="auto"/>
              <w:right w:val="single" w:sz="12" w:space="0" w:color="auto"/>
            </w:tcBorders>
          </w:tcPr>
          <w:p w:rsidR="00EB7A29" w:rsidRDefault="00EB7A29" w:rsidP="00B950A4">
            <w:pPr>
              <w:jc w:val="center"/>
            </w:pPr>
            <w:r>
              <w:t xml:space="preserve">Изборни </w:t>
            </w:r>
          </w:p>
        </w:tc>
        <w:tc>
          <w:tcPr>
            <w:tcW w:w="2533" w:type="dxa"/>
            <w:gridSpan w:val="3"/>
            <w:tcBorders>
              <w:top w:val="single" w:sz="4" w:space="0" w:color="auto"/>
              <w:left w:val="single" w:sz="12" w:space="0" w:color="auto"/>
              <w:bottom w:val="single" w:sz="18" w:space="0" w:color="auto"/>
              <w:right w:val="single" w:sz="12" w:space="0" w:color="auto"/>
            </w:tcBorders>
          </w:tcPr>
          <w:p w:rsidR="00EB7A29" w:rsidRDefault="00EB7A29" w:rsidP="00B950A4">
            <w:pPr>
              <w:jc w:val="center"/>
            </w:pPr>
            <w:r>
              <w:t>IX или X (M–I или II)</w:t>
            </w:r>
          </w:p>
        </w:tc>
        <w:tc>
          <w:tcPr>
            <w:tcW w:w="894" w:type="dxa"/>
            <w:tcBorders>
              <w:top w:val="single" w:sz="4" w:space="0" w:color="auto"/>
              <w:left w:val="single" w:sz="12" w:space="0" w:color="auto"/>
              <w:bottom w:val="single" w:sz="18" w:space="0" w:color="auto"/>
              <w:right w:val="single" w:sz="12" w:space="0" w:color="auto"/>
            </w:tcBorders>
          </w:tcPr>
          <w:p w:rsidR="00EB7A29" w:rsidRDefault="00EB7A29" w:rsidP="00B950A4">
            <w:pPr>
              <w:jc w:val="center"/>
              <w:rPr>
                <w:b/>
              </w:rPr>
            </w:pPr>
            <w:r>
              <w:rPr>
                <w:b/>
              </w:rPr>
              <w:t>10</w:t>
            </w:r>
          </w:p>
        </w:tc>
        <w:tc>
          <w:tcPr>
            <w:tcW w:w="1001" w:type="dxa"/>
            <w:gridSpan w:val="2"/>
            <w:tcBorders>
              <w:top w:val="single" w:sz="4" w:space="0" w:color="auto"/>
              <w:left w:val="single" w:sz="12" w:space="0" w:color="auto"/>
              <w:bottom w:val="single" w:sz="18" w:space="0" w:color="auto"/>
              <w:right w:val="single" w:sz="8" w:space="0" w:color="auto"/>
            </w:tcBorders>
          </w:tcPr>
          <w:p w:rsidR="00EB7A29" w:rsidRDefault="00EB7A29" w:rsidP="00B950A4">
            <w:pPr>
              <w:jc w:val="center"/>
            </w:pPr>
            <w:r>
              <w:t>3 П</w:t>
            </w:r>
          </w:p>
        </w:tc>
        <w:tc>
          <w:tcPr>
            <w:tcW w:w="1800" w:type="dxa"/>
            <w:tcBorders>
              <w:top w:val="single" w:sz="4" w:space="0" w:color="auto"/>
              <w:left w:val="single" w:sz="12" w:space="0" w:color="auto"/>
              <w:bottom w:val="single" w:sz="18" w:space="0" w:color="auto"/>
              <w:right w:val="single" w:sz="8" w:space="0" w:color="auto"/>
            </w:tcBorders>
          </w:tcPr>
          <w:p w:rsidR="00EB7A29" w:rsidRDefault="00EB7A29" w:rsidP="00B950A4">
            <w:pPr>
              <w:jc w:val="center"/>
            </w:pPr>
            <w:r>
              <w:t>2 В</w:t>
            </w:r>
          </w:p>
        </w:tc>
      </w:tr>
      <w:tr w:rsidR="00EB7A29" w:rsidTr="00B950A4">
        <w:tc>
          <w:tcPr>
            <w:tcW w:w="2604" w:type="dxa"/>
            <w:gridSpan w:val="3"/>
            <w:tcBorders>
              <w:top w:val="single" w:sz="18" w:space="0" w:color="auto"/>
              <w:left w:val="single" w:sz="8" w:space="0" w:color="auto"/>
              <w:bottom w:val="single" w:sz="18" w:space="0" w:color="auto"/>
              <w:right w:val="single" w:sz="4" w:space="0" w:color="auto"/>
            </w:tcBorders>
          </w:tcPr>
          <w:p w:rsidR="00EB7A29" w:rsidRDefault="00EB7A29" w:rsidP="00B950A4">
            <w:pPr>
              <w:rPr>
                <w:b/>
              </w:rPr>
            </w:pPr>
            <w:r>
              <w:rPr>
                <w:b/>
              </w:rPr>
              <w:t>Шифра предмета</w:t>
            </w:r>
          </w:p>
        </w:tc>
        <w:tc>
          <w:tcPr>
            <w:tcW w:w="2182" w:type="dxa"/>
            <w:gridSpan w:val="2"/>
            <w:tcBorders>
              <w:top w:val="single" w:sz="18" w:space="0" w:color="auto"/>
              <w:left w:val="single" w:sz="4" w:space="0" w:color="auto"/>
              <w:bottom w:val="single" w:sz="18" w:space="0" w:color="auto"/>
              <w:right w:val="single" w:sz="8" w:space="0" w:color="auto"/>
            </w:tcBorders>
          </w:tcPr>
          <w:p w:rsidR="00EB7A29" w:rsidRDefault="00EB7A29" w:rsidP="00B950A4">
            <w:pPr>
              <w:jc w:val="center"/>
            </w:pPr>
          </w:p>
        </w:tc>
        <w:tc>
          <w:tcPr>
            <w:tcW w:w="2189" w:type="dxa"/>
            <w:gridSpan w:val="4"/>
            <w:tcBorders>
              <w:top w:val="single" w:sz="18" w:space="0" w:color="auto"/>
              <w:left w:val="single" w:sz="8" w:space="0" w:color="auto"/>
              <w:bottom w:val="single" w:sz="18" w:space="0" w:color="auto"/>
              <w:right w:val="single" w:sz="8" w:space="0" w:color="auto"/>
            </w:tcBorders>
          </w:tcPr>
          <w:p w:rsidR="00EB7A29" w:rsidRDefault="00EB7A29" w:rsidP="00B950A4">
            <w:pPr>
              <w:jc w:val="center"/>
            </w:pPr>
          </w:p>
        </w:tc>
        <w:tc>
          <w:tcPr>
            <w:tcW w:w="2745" w:type="dxa"/>
            <w:gridSpan w:val="2"/>
            <w:tcBorders>
              <w:top w:val="single" w:sz="18" w:space="0" w:color="auto"/>
              <w:left w:val="single" w:sz="8" w:space="0" w:color="auto"/>
              <w:bottom w:val="single" w:sz="18" w:space="0" w:color="auto"/>
              <w:right w:val="single" w:sz="8" w:space="0" w:color="auto"/>
            </w:tcBorders>
          </w:tcPr>
          <w:p w:rsidR="00EB7A29" w:rsidRDefault="00EB7A29" w:rsidP="00B950A4">
            <w:pPr>
              <w:jc w:val="center"/>
            </w:pPr>
          </w:p>
        </w:tc>
      </w:tr>
      <w:tr w:rsidR="00EB7A29" w:rsidTr="00B950A4">
        <w:tc>
          <w:tcPr>
            <w:tcW w:w="5349" w:type="dxa"/>
            <w:gridSpan w:val="6"/>
            <w:tcBorders>
              <w:top w:val="single" w:sz="18" w:space="0" w:color="auto"/>
              <w:left w:val="single" w:sz="8" w:space="0" w:color="auto"/>
              <w:bottom w:val="single" w:sz="18" w:space="0" w:color="auto"/>
              <w:right w:val="single" w:sz="4" w:space="0" w:color="auto"/>
            </w:tcBorders>
          </w:tcPr>
          <w:p w:rsidR="00EB7A29" w:rsidRDefault="00EB7A29" w:rsidP="00B950A4">
            <w:pPr>
              <w:rPr>
                <w:b/>
              </w:rPr>
            </w:pPr>
            <w:r>
              <w:rPr>
                <w:b/>
              </w:rPr>
              <w:t>Школска година од које се програм реализује</w:t>
            </w:r>
          </w:p>
        </w:tc>
        <w:tc>
          <w:tcPr>
            <w:tcW w:w="4371" w:type="dxa"/>
            <w:gridSpan w:val="5"/>
            <w:tcBorders>
              <w:top w:val="single" w:sz="18" w:space="0" w:color="auto"/>
              <w:left w:val="single" w:sz="4" w:space="0" w:color="auto"/>
              <w:bottom w:val="single" w:sz="18" w:space="0" w:color="auto"/>
              <w:right w:val="single" w:sz="8" w:space="0" w:color="auto"/>
            </w:tcBorders>
          </w:tcPr>
          <w:p w:rsidR="00EB7A29" w:rsidRDefault="00EB7A29" w:rsidP="00B950A4">
            <w:pPr>
              <w:rPr>
                <w:b/>
                <w:i/>
              </w:rPr>
            </w:pPr>
            <w:r>
              <w:rPr>
                <w:b/>
                <w:i/>
              </w:rPr>
              <w:t>2015/2016.</w:t>
            </w:r>
          </w:p>
        </w:tc>
      </w:tr>
      <w:tr w:rsidR="00EB7A29" w:rsidTr="00B950A4">
        <w:tc>
          <w:tcPr>
            <w:tcW w:w="9720" w:type="dxa"/>
            <w:gridSpan w:val="11"/>
            <w:tcBorders>
              <w:top w:val="single" w:sz="18" w:space="0" w:color="auto"/>
              <w:left w:val="single" w:sz="8" w:space="0" w:color="auto"/>
              <w:bottom w:val="single" w:sz="18" w:space="0" w:color="auto"/>
              <w:right w:val="single" w:sz="8" w:space="0" w:color="auto"/>
            </w:tcBorders>
          </w:tcPr>
          <w:p w:rsidR="00EB7A29" w:rsidRDefault="00EB7A29" w:rsidP="00B950A4">
            <w:pPr>
              <w:jc w:val="both"/>
              <w:rPr>
                <w:i/>
                <w:sz w:val="20"/>
                <w:szCs w:val="20"/>
              </w:rPr>
            </w:pPr>
            <w:r>
              <w:rPr>
                <w:b/>
              </w:rPr>
              <w:t xml:space="preserve">Врста и ниво студија, студијски програми: </w:t>
            </w:r>
            <w:r>
              <w:rPr>
                <w:i/>
                <w:sz w:val="20"/>
                <w:szCs w:val="20"/>
              </w:rPr>
              <w:t>Академске студије, Други циклус (мастер студиј). Студијски програм: Пословно право.</w:t>
            </w:r>
          </w:p>
        </w:tc>
      </w:tr>
      <w:tr w:rsidR="00EB7A29" w:rsidTr="00B950A4">
        <w:tc>
          <w:tcPr>
            <w:tcW w:w="9720" w:type="dxa"/>
            <w:gridSpan w:val="11"/>
            <w:tcBorders>
              <w:top w:val="single" w:sz="18" w:space="0" w:color="auto"/>
              <w:left w:val="single" w:sz="8" w:space="0" w:color="auto"/>
              <w:bottom w:val="single" w:sz="18" w:space="0" w:color="auto"/>
              <w:right w:val="single" w:sz="8" w:space="0" w:color="auto"/>
            </w:tcBorders>
          </w:tcPr>
          <w:p w:rsidR="00EB7A29" w:rsidRDefault="00EB7A29" w:rsidP="00B950A4">
            <w:pPr>
              <w:rPr>
                <w:i/>
                <w:sz w:val="20"/>
                <w:szCs w:val="20"/>
              </w:rPr>
            </w:pPr>
            <w:r>
              <w:rPr>
                <w:b/>
              </w:rPr>
              <w:t>Условљеност другим предметима:</w:t>
            </w:r>
            <w:r>
              <w:rPr>
                <w:i/>
                <w:sz w:val="20"/>
                <w:szCs w:val="20"/>
              </w:rPr>
              <w:t xml:space="preserve"> Нема услова за пријављивање и слушање предмета.</w:t>
            </w:r>
          </w:p>
        </w:tc>
      </w:tr>
      <w:tr w:rsidR="00EB7A29" w:rsidTr="00B950A4">
        <w:tc>
          <w:tcPr>
            <w:tcW w:w="9720" w:type="dxa"/>
            <w:gridSpan w:val="11"/>
            <w:tcBorders>
              <w:top w:val="single" w:sz="18" w:space="0" w:color="auto"/>
              <w:left w:val="single" w:sz="8" w:space="0" w:color="auto"/>
              <w:bottom w:val="single" w:sz="18" w:space="0" w:color="auto"/>
              <w:right w:val="single" w:sz="8" w:space="0" w:color="auto"/>
            </w:tcBorders>
          </w:tcPr>
          <w:p w:rsidR="00EB7A29" w:rsidRDefault="00EB7A29" w:rsidP="00B950A4">
            <w:pPr>
              <w:jc w:val="both"/>
              <w:rPr>
                <w:bCs/>
                <w:i/>
                <w:sz w:val="20"/>
                <w:szCs w:val="20"/>
                <w:lang w:val="sr-Cyrl-CS"/>
              </w:rPr>
            </w:pPr>
            <w:r>
              <w:rPr>
                <w:b/>
              </w:rPr>
              <w:t>Циљеви изучавања предмета:</w:t>
            </w:r>
            <w:r>
              <w:rPr>
                <w:i/>
                <w:sz w:val="20"/>
                <w:szCs w:val="20"/>
              </w:rPr>
              <w:t xml:space="preserve"> </w:t>
            </w:r>
            <w:r>
              <w:rPr>
                <w:i/>
                <w:sz w:val="20"/>
                <w:szCs w:val="20"/>
                <w:lang w:val="sr-Cyrl-CS"/>
              </w:rPr>
              <w:t>Стицање основних знања о берзанском праву, разумијевање главних питања у вези с берзама и берзанским пословима, упућивање студената у функционисање берзи у пракси, увођење у режим основних међународих извора и стремљења у берзанском праву, увођење у основе права серијских хартија од вриједности, стицање основне представе о рјешавању берзанских спорова</w:t>
            </w:r>
            <w:r>
              <w:rPr>
                <w:bCs/>
                <w:i/>
                <w:sz w:val="20"/>
                <w:szCs w:val="20"/>
                <w:lang w:val="sr-Cyrl-CS"/>
              </w:rPr>
              <w:t xml:space="preserve">. </w:t>
            </w:r>
          </w:p>
        </w:tc>
      </w:tr>
      <w:tr w:rsidR="00EB7A29" w:rsidTr="00B950A4">
        <w:trPr>
          <w:trHeight w:val="135"/>
        </w:trPr>
        <w:tc>
          <w:tcPr>
            <w:tcW w:w="9720" w:type="dxa"/>
            <w:gridSpan w:val="11"/>
            <w:tcBorders>
              <w:top w:val="single" w:sz="18" w:space="0" w:color="auto"/>
              <w:left w:val="single" w:sz="8" w:space="0" w:color="auto"/>
              <w:bottom w:val="single" w:sz="18" w:space="0" w:color="auto"/>
              <w:right w:val="single" w:sz="8" w:space="0" w:color="auto"/>
            </w:tcBorders>
          </w:tcPr>
          <w:p w:rsidR="00EB7A29" w:rsidRDefault="00EB7A29" w:rsidP="00B950A4">
            <w:pPr>
              <w:jc w:val="both"/>
              <w:rPr>
                <w:sz w:val="20"/>
                <w:szCs w:val="20"/>
              </w:rPr>
            </w:pPr>
            <w:r>
              <w:rPr>
                <w:b/>
              </w:rPr>
              <w:t xml:space="preserve">Исходи учења: </w:t>
            </w:r>
            <w:r>
              <w:rPr>
                <w:bCs/>
                <w:i/>
                <w:sz w:val="20"/>
                <w:szCs w:val="20"/>
                <w:lang w:val="sr-Cyrl-CS"/>
              </w:rPr>
              <w:t>Студент стиче знање и вјештине које омогућују да самостално, компетентно и професионално критички анализира и примјењује знања из области берзанског права</w:t>
            </w:r>
            <w:r>
              <w:rPr>
                <w:i/>
                <w:sz w:val="20"/>
                <w:szCs w:val="20"/>
              </w:rPr>
              <w:t>.</w:t>
            </w:r>
            <w:r>
              <w:rPr>
                <w:b/>
                <w:sz w:val="20"/>
                <w:szCs w:val="20"/>
              </w:rPr>
              <w:t xml:space="preserve"> </w:t>
            </w:r>
          </w:p>
        </w:tc>
      </w:tr>
      <w:tr w:rsidR="00EB7A29" w:rsidTr="00B950A4">
        <w:tc>
          <w:tcPr>
            <w:tcW w:w="9720" w:type="dxa"/>
            <w:gridSpan w:val="11"/>
            <w:tcBorders>
              <w:top w:val="single" w:sz="18" w:space="0" w:color="auto"/>
              <w:left w:val="single" w:sz="8" w:space="0" w:color="auto"/>
              <w:bottom w:val="single" w:sz="18" w:space="0" w:color="auto"/>
              <w:right w:val="single" w:sz="8" w:space="0" w:color="auto"/>
            </w:tcBorders>
          </w:tcPr>
          <w:p w:rsidR="00EB7A29" w:rsidRDefault="00EB7A29" w:rsidP="00B950A4">
            <w:pPr>
              <w:jc w:val="both"/>
              <w:rPr>
                <w:i/>
                <w:sz w:val="20"/>
                <w:szCs w:val="20"/>
              </w:rPr>
            </w:pPr>
            <w:r>
              <w:rPr>
                <w:b/>
              </w:rPr>
              <w:t>Метод наставе и савладавање градива:</w:t>
            </w:r>
            <w:r>
              <w:rPr>
                <w:i/>
                <w:sz w:val="20"/>
                <w:szCs w:val="20"/>
              </w:rPr>
              <w:t xml:space="preserve"> </w:t>
            </w:r>
            <w:r>
              <w:rPr>
                <w:i/>
                <w:sz w:val="20"/>
              </w:rPr>
              <w:t xml:space="preserve"> </w:t>
            </w:r>
            <w:r>
              <w:rPr>
                <w:i/>
                <w:sz w:val="20"/>
                <w:szCs w:val="20"/>
              </w:rPr>
              <w:t xml:space="preserve"> Наставни процес се реализује кроз фронтални облик рада – предавања, и  интерактивни облик рада – тестови,домаћи радови, семинарски рад.</w:t>
            </w:r>
          </w:p>
        </w:tc>
      </w:tr>
      <w:tr w:rsidR="00EB7A29" w:rsidTr="00B950A4">
        <w:trPr>
          <w:trHeight w:val="736"/>
        </w:trPr>
        <w:tc>
          <w:tcPr>
            <w:tcW w:w="9720" w:type="dxa"/>
            <w:gridSpan w:val="11"/>
            <w:tcBorders>
              <w:top w:val="single" w:sz="18" w:space="0" w:color="auto"/>
              <w:left w:val="single" w:sz="8" w:space="0" w:color="auto"/>
              <w:bottom w:val="single" w:sz="4" w:space="0" w:color="auto"/>
              <w:right w:val="single" w:sz="8" w:space="0" w:color="auto"/>
            </w:tcBorders>
          </w:tcPr>
          <w:p w:rsidR="00EB7A29" w:rsidRDefault="00EB7A29" w:rsidP="00B950A4">
            <w:pPr>
              <w:rPr>
                <w:b/>
              </w:rPr>
            </w:pPr>
            <w:r>
              <w:rPr>
                <w:b/>
              </w:rPr>
              <w:t xml:space="preserve">Садржај предмета: </w:t>
            </w:r>
          </w:p>
          <w:p w:rsidR="00EB7A29" w:rsidRDefault="00EB7A29" w:rsidP="00EB7A29">
            <w:pPr>
              <w:numPr>
                <w:ilvl w:val="0"/>
                <w:numId w:val="2"/>
              </w:numPr>
              <w:rPr>
                <w:i/>
                <w:sz w:val="20"/>
                <w:szCs w:val="20"/>
                <w:lang w:val="sr-Cyrl-CS"/>
              </w:rPr>
            </w:pPr>
            <w:r>
              <w:rPr>
                <w:i/>
                <w:sz w:val="20"/>
                <w:szCs w:val="20"/>
                <w:lang w:val="sr-Cyrl-CS"/>
              </w:rPr>
              <w:t>ОПШТИ ДЕО : Појам берзанског права, предмет, метод, извори (домаћи и међународни), историја, однос с другим гранама права</w:t>
            </w:r>
          </w:p>
          <w:p w:rsidR="00EB7A29" w:rsidRDefault="00EB7A29" w:rsidP="00EB7A29">
            <w:pPr>
              <w:numPr>
                <w:ilvl w:val="0"/>
                <w:numId w:val="2"/>
              </w:numPr>
              <w:rPr>
                <w:i/>
                <w:sz w:val="20"/>
                <w:szCs w:val="20"/>
                <w:lang w:val="sr-Cyrl-CS"/>
              </w:rPr>
            </w:pPr>
            <w:r>
              <w:rPr>
                <w:i/>
                <w:sz w:val="20"/>
                <w:szCs w:val="20"/>
                <w:lang w:val="sr-Cyrl-CS"/>
              </w:rPr>
              <w:t xml:space="preserve">СТАТУСНИ ДЕО: </w:t>
            </w:r>
          </w:p>
          <w:p w:rsidR="00EB7A29" w:rsidRDefault="00EB7A29" w:rsidP="00B950A4">
            <w:pPr>
              <w:ind w:left="720"/>
              <w:rPr>
                <w:i/>
                <w:sz w:val="20"/>
                <w:szCs w:val="20"/>
                <w:lang w:val="sr-Cyrl-CS"/>
              </w:rPr>
            </w:pPr>
            <w:r>
              <w:rPr>
                <w:i/>
                <w:iCs/>
                <w:sz w:val="20"/>
                <w:szCs w:val="20"/>
                <w:lang w:val="sr-Cyrl-CS"/>
              </w:rPr>
              <w:t>Берзе</w:t>
            </w:r>
            <w:r>
              <w:rPr>
                <w:i/>
                <w:sz w:val="20"/>
                <w:szCs w:val="20"/>
                <w:lang w:val="sr-Cyrl-CS"/>
              </w:rPr>
              <w:t xml:space="preserve"> - Појам, историја, значај, врсте, лична обележја (име, седиште и др.), делатности, отпочињање делатности (услови, дозвола, оснивањем, претварањем у берзу), правни положај (правно лице), организациони облик, одговорност за обавезе, ванберзанско тржиште, персонални састав берзе (чланови, службеници, гости), органи, радна тела (нпр. комисија за котацију), арбитража, организација берзе, тржишта, берзански простор, берзански морал, берзанска конотрола, дисциплина, финансирање берзе, опорезивање, престанак берзе; </w:t>
            </w:r>
            <w:r>
              <w:rPr>
                <w:i/>
                <w:iCs/>
                <w:sz w:val="20"/>
                <w:szCs w:val="20"/>
                <w:lang w:val="sr-Cyrl-CS"/>
              </w:rPr>
              <w:t>Берзански трговци</w:t>
            </w:r>
            <w:r>
              <w:rPr>
                <w:i/>
                <w:sz w:val="20"/>
                <w:szCs w:val="20"/>
                <w:lang w:val="sr-Cyrl-CS"/>
              </w:rPr>
              <w:t xml:space="preserve"> - Појам, врсте, делатности, лична обележја (име, седиште и др.), отпочињање делатности (услови, дозвола, оснивањем, претварањем), положај, организациони део, организациони облик, одговорност за обавезе, чланство у берзи (стицање, права и обавезе, престанак), органи, организација, надзор, границе ризика (изложеност ризику, примеренонст капитала) престанак, опорезивање, удруживање;</w:t>
            </w:r>
          </w:p>
          <w:p w:rsidR="00EB7A29" w:rsidRDefault="00EB7A29" w:rsidP="00B950A4">
            <w:pPr>
              <w:ind w:left="720"/>
              <w:rPr>
                <w:i/>
                <w:sz w:val="20"/>
                <w:szCs w:val="20"/>
                <w:lang w:val="sr-Cyrl-CS"/>
              </w:rPr>
            </w:pPr>
            <w:r>
              <w:rPr>
                <w:i/>
                <w:iCs/>
                <w:sz w:val="20"/>
                <w:szCs w:val="20"/>
              </w:rPr>
              <w:t>Емитент</w:t>
            </w:r>
            <w:r>
              <w:rPr>
                <w:i/>
                <w:sz w:val="20"/>
                <w:szCs w:val="20"/>
              </w:rPr>
              <w:t xml:space="preserve"> -</w:t>
            </w:r>
            <w:r>
              <w:rPr>
                <w:i/>
                <w:iCs/>
                <w:sz w:val="20"/>
                <w:szCs w:val="20"/>
              </w:rPr>
              <w:t xml:space="preserve"> Појам, врсте,  положај, емисија – појам, услови, поступак, јавна и приватна емисија, друге врсте емисије, окончање, утврђивање исхода</w:t>
            </w:r>
          </w:p>
          <w:p w:rsidR="00EB7A29" w:rsidRDefault="00EB7A29" w:rsidP="00B950A4">
            <w:pPr>
              <w:ind w:firstLine="720"/>
              <w:rPr>
                <w:i/>
                <w:sz w:val="20"/>
                <w:szCs w:val="20"/>
                <w:lang w:val="sr-Cyrl-CS"/>
              </w:rPr>
            </w:pPr>
            <w:r>
              <w:rPr>
                <w:i/>
                <w:iCs/>
                <w:sz w:val="20"/>
                <w:szCs w:val="20"/>
                <w:lang w:val="sr-Cyrl-CS"/>
              </w:rPr>
              <w:t>Купац и улагач</w:t>
            </w:r>
            <w:r>
              <w:rPr>
                <w:i/>
                <w:sz w:val="20"/>
                <w:szCs w:val="20"/>
                <w:lang w:val="sr-Cyrl-CS"/>
              </w:rPr>
              <w:t xml:space="preserve"> – појам, врсте, заштита неуких улагача (потрошача);</w:t>
            </w:r>
          </w:p>
          <w:p w:rsidR="00EB7A29" w:rsidRDefault="00EB7A29" w:rsidP="00EB7A29">
            <w:pPr>
              <w:numPr>
                <w:ilvl w:val="0"/>
                <w:numId w:val="2"/>
              </w:numPr>
              <w:rPr>
                <w:i/>
                <w:sz w:val="20"/>
                <w:szCs w:val="20"/>
                <w:lang w:val="sr-Cyrl-CS"/>
              </w:rPr>
            </w:pPr>
            <w:r>
              <w:rPr>
                <w:i/>
                <w:sz w:val="20"/>
                <w:szCs w:val="20"/>
                <w:lang w:val="sr-Cyrl-CS"/>
              </w:rPr>
              <w:t>УПРАВНИ ДЕО: Нивои надзора, државни надзор, разлог увођења, системи државног надзора (комисија и комесар), предмет надзора, надзирани субјекти, Комисија за хартије од вредности (појам, састав, образовање, делокруг, разрешење), мере дисциплиновања учесника тржишта, улога осталих државних органа, Централни регистар хартија од вредности, судска контрола управних функција Комисије, Централног регистра и берзе</w:t>
            </w:r>
          </w:p>
          <w:p w:rsidR="00EB7A29" w:rsidRDefault="00EB7A29" w:rsidP="00EB7A29">
            <w:pPr>
              <w:numPr>
                <w:ilvl w:val="0"/>
                <w:numId w:val="2"/>
              </w:numPr>
              <w:rPr>
                <w:i/>
                <w:sz w:val="20"/>
                <w:szCs w:val="20"/>
                <w:lang w:val="sr-Cyrl-CS"/>
              </w:rPr>
            </w:pPr>
            <w:r>
              <w:rPr>
                <w:i/>
                <w:sz w:val="20"/>
                <w:szCs w:val="20"/>
                <w:lang w:val="sr-Cyrl-CS"/>
              </w:rPr>
              <w:t>УГОВОРНИ ДЕО:</w:t>
            </w:r>
          </w:p>
          <w:p w:rsidR="00EB7A29" w:rsidRDefault="00EB7A29" w:rsidP="00B950A4">
            <w:pPr>
              <w:ind w:left="720"/>
              <w:rPr>
                <w:i/>
                <w:sz w:val="20"/>
                <w:szCs w:val="20"/>
                <w:lang w:val="sr-Cyrl-CS"/>
              </w:rPr>
            </w:pPr>
            <w:r>
              <w:rPr>
                <w:i/>
                <w:iCs/>
                <w:sz w:val="20"/>
                <w:szCs w:val="20"/>
                <w:lang w:val="sr-Cyrl-CS"/>
              </w:rPr>
              <w:t>Општи део</w:t>
            </w:r>
            <w:r>
              <w:rPr>
                <w:i/>
                <w:sz w:val="20"/>
                <w:szCs w:val="20"/>
                <w:lang w:val="sr-Cyrl-CS"/>
              </w:rPr>
              <w:t xml:space="preserve"> – Појам берзанских послова, услови, особине, закључење, берзански налог (појам, садржина, врсте, давање, испитивање, прихват, повлачење, измена, извршење), форма, закључница, битни састојци (предмет и цена), предмет (вредноснице, роба, валуте), услови за пуноважност посла (допуштеност, одређеност, могућност), котација (појам, пријем, суспензија, престанак), уговор о котацији, цена (појам, курс, врсте курсева, чиниоци кретањa курсева), објављивање курсева (курсна листа), котирање (појам, методи, првенство, ограничење промене курсева, поништај курса, одсуство котирања), преузимање контроле акционарских друштава (појам, начини, понуда за преузимање, минимална цена, јавна понуда, обавезна понуда, добровољна понуда, поступак, контрола, исход, одбрана), злоупотреба повлашћених информација, престанак и испуњење берзанских послова (субјекти, предмет, време и начин испуњења, обрачун), последице неиспуњења;</w:t>
            </w:r>
          </w:p>
          <w:p w:rsidR="00EB7A29" w:rsidRDefault="00EB7A29" w:rsidP="00EB7A29">
            <w:pPr>
              <w:numPr>
                <w:ilvl w:val="0"/>
                <w:numId w:val="1"/>
              </w:numPr>
              <w:rPr>
                <w:i/>
                <w:sz w:val="20"/>
                <w:lang w:val="ru-RU"/>
              </w:rPr>
            </w:pPr>
            <w:r>
              <w:rPr>
                <w:i/>
                <w:iCs/>
                <w:sz w:val="20"/>
                <w:szCs w:val="20"/>
                <w:lang w:val="sr-Cyrl-CS"/>
              </w:rPr>
              <w:t>Посебни део</w:t>
            </w:r>
            <w:r>
              <w:rPr>
                <w:i/>
                <w:sz w:val="20"/>
                <w:szCs w:val="20"/>
                <w:lang w:val="sr-Cyrl-CS"/>
              </w:rPr>
              <w:t xml:space="preserve"> – посебне врсте безанских послова, унутрашњи и спољни послови, званични и незванични, стварни и шпекулативни, арбитражни, непреносиви и преносиви (фјучерси), рочни и дневни, безусловни и условни (премијски, опцијски), прости и сложени, продужни (репортни) послови, стелажни посао</w:t>
            </w:r>
            <w:r>
              <w:rPr>
                <w:i/>
                <w:sz w:val="20"/>
                <w:szCs w:val="20"/>
              </w:rPr>
              <w:t xml:space="preserve">, </w:t>
            </w:r>
            <w:r>
              <w:rPr>
                <w:i/>
                <w:sz w:val="20"/>
                <w:szCs w:val="20"/>
                <w:lang w:val="sr-Cyrl-CS"/>
              </w:rPr>
              <w:t>диференцијски посао, посао на још</w:t>
            </w:r>
            <w:r>
              <w:rPr>
                <w:i/>
                <w:sz w:val="20"/>
                <w:szCs w:val="20"/>
              </w:rPr>
              <w:t xml:space="preserve">. </w:t>
            </w:r>
          </w:p>
        </w:tc>
      </w:tr>
      <w:tr w:rsidR="00EB7A29" w:rsidTr="00B950A4">
        <w:trPr>
          <w:trHeight w:val="274"/>
        </w:trPr>
        <w:tc>
          <w:tcPr>
            <w:tcW w:w="9720" w:type="dxa"/>
            <w:gridSpan w:val="11"/>
            <w:tcBorders>
              <w:top w:val="single" w:sz="4" w:space="0" w:color="auto"/>
              <w:left w:val="single" w:sz="8" w:space="0" w:color="auto"/>
              <w:bottom w:val="single" w:sz="4" w:space="0" w:color="auto"/>
              <w:right w:val="single" w:sz="8" w:space="0" w:color="auto"/>
            </w:tcBorders>
          </w:tcPr>
          <w:p w:rsidR="00EB7A29" w:rsidRDefault="00EB7A29" w:rsidP="00B950A4">
            <w:pPr>
              <w:autoSpaceDE w:val="0"/>
              <w:autoSpaceDN w:val="0"/>
              <w:adjustRightInd w:val="0"/>
              <w:rPr>
                <w:i/>
                <w:sz w:val="20"/>
                <w:szCs w:val="20"/>
              </w:rPr>
            </w:pPr>
            <w:r>
              <w:rPr>
                <w:b/>
              </w:rPr>
              <w:t>Литература:</w:t>
            </w:r>
          </w:p>
          <w:p w:rsidR="00EB7A29" w:rsidRDefault="00EB7A29" w:rsidP="00B950A4">
            <w:pPr>
              <w:autoSpaceDE w:val="0"/>
              <w:autoSpaceDN w:val="0"/>
              <w:adjustRightInd w:val="0"/>
              <w:jc w:val="both"/>
              <w:rPr>
                <w:sz w:val="20"/>
                <w:szCs w:val="20"/>
              </w:rPr>
            </w:pPr>
            <w:r>
              <w:rPr>
                <w:b/>
                <w:sz w:val="20"/>
                <w:szCs w:val="20"/>
              </w:rPr>
              <w:t xml:space="preserve">Обавезна: </w:t>
            </w:r>
          </w:p>
          <w:p w:rsidR="00EB7A29" w:rsidRDefault="00EB7A29" w:rsidP="00B950A4">
            <w:pPr>
              <w:autoSpaceDE w:val="0"/>
              <w:autoSpaceDN w:val="0"/>
              <w:adjustRightInd w:val="0"/>
              <w:jc w:val="both"/>
              <w:rPr>
                <w:i/>
                <w:color w:val="000000"/>
                <w:sz w:val="20"/>
                <w:szCs w:val="20"/>
                <w:lang w:val="sr-Cyrl-CS"/>
              </w:rPr>
            </w:pPr>
            <w:r>
              <w:rPr>
                <w:i/>
                <w:color w:val="000000"/>
                <w:sz w:val="20"/>
                <w:szCs w:val="20"/>
                <w:lang w:val="sr-Cyrl-CS"/>
              </w:rPr>
              <w:t xml:space="preserve">Н. Јовановић, Уџбеник из берзанског права, Правни факултет, Београд, 2010;  </w:t>
            </w:r>
          </w:p>
          <w:p w:rsidR="00EB7A29" w:rsidRDefault="00EB7A29" w:rsidP="00B950A4">
            <w:pPr>
              <w:autoSpaceDE w:val="0"/>
              <w:autoSpaceDN w:val="0"/>
              <w:adjustRightInd w:val="0"/>
              <w:jc w:val="both"/>
              <w:rPr>
                <w:i/>
                <w:color w:val="000000"/>
                <w:sz w:val="20"/>
                <w:szCs w:val="20"/>
                <w:lang w:val="sr-Cyrl-CS"/>
              </w:rPr>
            </w:pPr>
            <w:r>
              <w:rPr>
                <w:i/>
                <w:color w:val="000000"/>
                <w:sz w:val="20"/>
                <w:szCs w:val="20"/>
                <w:lang w:val="sr-Cyrl-CS"/>
              </w:rPr>
              <w:lastRenderedPageBreak/>
              <w:t xml:space="preserve">Н. Јовановић, Законски монопол берзи у препродаји вредносница, Право и привреда, Београд, бр. 1-4/03, стр. 50-67; </w:t>
            </w:r>
          </w:p>
          <w:p w:rsidR="00EB7A29" w:rsidRDefault="00EB7A29" w:rsidP="00B950A4">
            <w:pPr>
              <w:autoSpaceDE w:val="0"/>
              <w:autoSpaceDN w:val="0"/>
              <w:adjustRightInd w:val="0"/>
              <w:jc w:val="both"/>
              <w:rPr>
                <w:i/>
                <w:color w:val="000000"/>
                <w:sz w:val="20"/>
                <w:szCs w:val="20"/>
                <w:lang w:val="sr-Cyrl-CS"/>
              </w:rPr>
            </w:pPr>
            <w:r>
              <w:rPr>
                <w:i/>
                <w:color w:val="000000"/>
                <w:sz w:val="20"/>
                <w:szCs w:val="20"/>
                <w:lang w:val="sr-Cyrl-CS"/>
              </w:rPr>
              <w:t xml:space="preserve">Н. Јовановић, Смисленост бесмислица Закона о тржишту хартија од вредности у вези са емисијом, Право и привреда, Београд, бр. 5-8/03, стр. 465-485, </w:t>
            </w:r>
          </w:p>
          <w:p w:rsidR="00EB7A29" w:rsidRDefault="00EB7A29" w:rsidP="00B950A4">
            <w:pPr>
              <w:autoSpaceDE w:val="0"/>
              <w:autoSpaceDN w:val="0"/>
              <w:adjustRightInd w:val="0"/>
              <w:jc w:val="both"/>
              <w:rPr>
                <w:bCs/>
                <w:i/>
                <w:sz w:val="20"/>
                <w:szCs w:val="20"/>
                <w:lang w:val="sr-Cyrl-CS"/>
              </w:rPr>
            </w:pPr>
            <w:r>
              <w:rPr>
                <w:i/>
                <w:color w:val="000000"/>
                <w:sz w:val="20"/>
                <w:szCs w:val="20"/>
                <w:lang w:val="sr-Cyrl-CS"/>
              </w:rPr>
              <w:t>Н. Јовановић, Дужност пријема у чланство берзе, Право и привреда, Београд, бр. 5-8/2005, стр. 760 – 755</w:t>
            </w:r>
            <w:r>
              <w:rPr>
                <w:bCs/>
                <w:i/>
                <w:iCs/>
                <w:sz w:val="20"/>
                <w:szCs w:val="20"/>
                <w:lang w:val="sr-Cyrl-CS"/>
              </w:rPr>
              <w:t>.</w:t>
            </w:r>
          </w:p>
          <w:p w:rsidR="00EB7A29" w:rsidRDefault="00EB7A29" w:rsidP="00B950A4">
            <w:pPr>
              <w:autoSpaceDE w:val="0"/>
              <w:autoSpaceDN w:val="0"/>
              <w:adjustRightInd w:val="0"/>
              <w:jc w:val="both"/>
              <w:rPr>
                <w:i/>
                <w:sz w:val="20"/>
                <w:szCs w:val="20"/>
              </w:rPr>
            </w:pPr>
            <w:r>
              <w:rPr>
                <w:b/>
                <w:sz w:val="20"/>
                <w:szCs w:val="20"/>
              </w:rPr>
              <w:t>Допунска:</w:t>
            </w:r>
          </w:p>
        </w:tc>
      </w:tr>
      <w:tr w:rsidR="00EB7A29" w:rsidTr="00B950A4">
        <w:tc>
          <w:tcPr>
            <w:tcW w:w="9720" w:type="dxa"/>
            <w:gridSpan w:val="11"/>
            <w:tcBorders>
              <w:top w:val="single" w:sz="4" w:space="0" w:color="auto"/>
              <w:left w:val="single" w:sz="8" w:space="0" w:color="auto"/>
              <w:bottom w:val="single" w:sz="4" w:space="0" w:color="auto"/>
              <w:right w:val="single" w:sz="8" w:space="0" w:color="auto"/>
            </w:tcBorders>
          </w:tcPr>
          <w:p w:rsidR="00EB7A29" w:rsidRDefault="00EB7A29" w:rsidP="00B950A4">
            <w:pPr>
              <w:jc w:val="both"/>
              <w:rPr>
                <w:b/>
              </w:rPr>
            </w:pPr>
            <w:r>
              <w:rPr>
                <w:b/>
              </w:rPr>
              <w:lastRenderedPageBreak/>
              <w:t xml:space="preserve">Облици провјере знања и оцјењивање: </w:t>
            </w:r>
            <w:r>
              <w:rPr>
                <w:bCs/>
                <w:i/>
                <w:iCs/>
                <w:color w:val="000000"/>
                <w:sz w:val="20"/>
                <w:szCs w:val="20"/>
              </w:rPr>
              <w:t xml:space="preserve"> Провјера знања и оцјењивање вршиће на основу остварених резултата у току семестра (колоквијуми, семинарски рад, пристуство настави и вјежбама) и завршног испита</w:t>
            </w:r>
            <w:r>
              <w:rPr>
                <w:bCs/>
                <w:i/>
                <w:iCs/>
                <w:sz w:val="20"/>
                <w:szCs w:val="20"/>
                <w:lang w:val="ru-RU"/>
              </w:rPr>
              <w:t>.</w:t>
            </w:r>
          </w:p>
        </w:tc>
      </w:tr>
      <w:tr w:rsidR="00EB7A29" w:rsidTr="00B950A4">
        <w:trPr>
          <w:trHeight w:val="135"/>
        </w:trPr>
        <w:tc>
          <w:tcPr>
            <w:tcW w:w="9720" w:type="dxa"/>
            <w:gridSpan w:val="11"/>
            <w:tcBorders>
              <w:top w:val="single" w:sz="4" w:space="0" w:color="auto"/>
              <w:left w:val="single" w:sz="8" w:space="0" w:color="auto"/>
              <w:bottom w:val="single" w:sz="4" w:space="0" w:color="auto"/>
              <w:right w:val="single" w:sz="8" w:space="0" w:color="auto"/>
            </w:tcBorders>
          </w:tcPr>
          <w:p w:rsidR="00EB7A29" w:rsidRDefault="00EB7A29" w:rsidP="00B950A4">
            <w:pPr>
              <w:jc w:val="both"/>
              <w:rPr>
                <w:b/>
              </w:rPr>
            </w:pPr>
            <w:r>
              <w:rPr>
                <w:b/>
              </w:rPr>
              <w:t>Име и презиме наставника:</w:t>
            </w:r>
            <w:r>
              <w:rPr>
                <w:i/>
                <w:sz w:val="20"/>
                <w:szCs w:val="20"/>
              </w:rPr>
              <w:t xml:space="preserve"> </w:t>
            </w:r>
            <w:r>
              <w:rPr>
                <w:i/>
                <w:sz w:val="20"/>
                <w:szCs w:val="20"/>
                <w:lang w:val="sr-Cyrl-CS"/>
              </w:rPr>
              <w:t xml:space="preserve"> Проф. др Небојша Јовановић</w:t>
            </w:r>
            <w:r>
              <w:rPr>
                <w:i/>
                <w:sz w:val="20"/>
                <w:szCs w:val="20"/>
              </w:rPr>
              <w:t>.</w:t>
            </w:r>
          </w:p>
        </w:tc>
      </w:tr>
      <w:tr w:rsidR="00EB7A29" w:rsidTr="00B950A4">
        <w:trPr>
          <w:trHeight w:val="135"/>
        </w:trPr>
        <w:tc>
          <w:tcPr>
            <w:tcW w:w="9720" w:type="dxa"/>
            <w:gridSpan w:val="11"/>
            <w:tcBorders>
              <w:top w:val="single" w:sz="4" w:space="0" w:color="auto"/>
              <w:left w:val="single" w:sz="8" w:space="0" w:color="auto"/>
              <w:bottom w:val="single" w:sz="18" w:space="0" w:color="auto"/>
              <w:right w:val="single" w:sz="8" w:space="0" w:color="auto"/>
            </w:tcBorders>
          </w:tcPr>
          <w:p w:rsidR="00EB7A29" w:rsidRDefault="00EB7A29" w:rsidP="00B950A4">
            <w:pPr>
              <w:rPr>
                <w:b/>
              </w:rPr>
            </w:pPr>
            <w:r>
              <w:rPr>
                <w:b/>
              </w:rPr>
              <w:t xml:space="preserve">Посебна напомена за предмет: </w:t>
            </w:r>
            <w:r>
              <w:rPr>
                <w:i/>
                <w:sz w:val="20"/>
                <w:szCs w:val="20"/>
              </w:rPr>
              <w:t>Без посебних назнака.</w:t>
            </w:r>
          </w:p>
        </w:tc>
      </w:tr>
    </w:tbl>
    <w:p w:rsidR="00EB023D" w:rsidRDefault="00EB7A29">
      <w:bookmarkStart w:id="0" w:name="_GoBack"/>
      <w:bookmarkEnd w:id="0"/>
    </w:p>
    <w:sectPr w:rsidR="00EB02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0269A"/>
    <w:multiLevelType w:val="hybridMultilevel"/>
    <w:tmpl w:val="4D4A8148"/>
    <w:lvl w:ilvl="0" w:tplc="F92C92C6">
      <w:start w:val="1"/>
      <w:numFmt w:val="decimal"/>
      <w:lvlText w:val="%1."/>
      <w:lvlJc w:val="left"/>
      <w:pPr>
        <w:ind w:left="720" w:hanging="360"/>
      </w:pPr>
      <w:rPr>
        <w:i w:val="0"/>
        <w:color w:val="00000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abstractNum w:abstractNumId="1">
    <w:nsid w:val="435D06D8"/>
    <w:multiLevelType w:val="hybridMultilevel"/>
    <w:tmpl w:val="C4929442"/>
    <w:lvl w:ilvl="0" w:tplc="141A000F">
      <w:start w:val="1"/>
      <w:numFmt w:val="decimal"/>
      <w:lvlText w:val="%1."/>
      <w:lvlJc w:val="left"/>
      <w:pPr>
        <w:ind w:left="720" w:hanging="360"/>
      </w:p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start w:val="1"/>
      <w:numFmt w:val="decimal"/>
      <w:lvlText w:val="%4."/>
      <w:lvlJc w:val="left"/>
      <w:pPr>
        <w:ind w:left="2880" w:hanging="360"/>
      </w:pPr>
    </w:lvl>
    <w:lvl w:ilvl="4" w:tplc="141A0019">
      <w:start w:val="1"/>
      <w:numFmt w:val="lowerLetter"/>
      <w:lvlText w:val="%5."/>
      <w:lvlJc w:val="left"/>
      <w:pPr>
        <w:ind w:left="3600" w:hanging="360"/>
      </w:pPr>
    </w:lvl>
    <w:lvl w:ilvl="5" w:tplc="141A001B">
      <w:start w:val="1"/>
      <w:numFmt w:val="lowerRoman"/>
      <w:lvlText w:val="%6."/>
      <w:lvlJc w:val="right"/>
      <w:pPr>
        <w:ind w:left="4320" w:hanging="180"/>
      </w:pPr>
    </w:lvl>
    <w:lvl w:ilvl="6" w:tplc="141A000F">
      <w:start w:val="1"/>
      <w:numFmt w:val="decimal"/>
      <w:lvlText w:val="%7."/>
      <w:lvlJc w:val="left"/>
      <w:pPr>
        <w:ind w:left="5040" w:hanging="360"/>
      </w:pPr>
    </w:lvl>
    <w:lvl w:ilvl="7" w:tplc="141A0019">
      <w:start w:val="1"/>
      <w:numFmt w:val="lowerLetter"/>
      <w:lvlText w:val="%8."/>
      <w:lvlJc w:val="left"/>
      <w:pPr>
        <w:ind w:left="5760" w:hanging="360"/>
      </w:pPr>
    </w:lvl>
    <w:lvl w:ilvl="8" w:tplc="1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A29"/>
    <w:rsid w:val="006A021C"/>
    <w:rsid w:val="009E7C6F"/>
    <w:rsid w:val="00EB7A29"/>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A2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cp:revision>
  <dcterms:created xsi:type="dcterms:W3CDTF">2022-12-07T08:42:00Z</dcterms:created>
  <dcterms:modified xsi:type="dcterms:W3CDTF">2022-12-07T08:42:00Z</dcterms:modified>
</cp:coreProperties>
</file>