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9"/>
        <w:gridCol w:w="404"/>
        <w:gridCol w:w="360"/>
        <w:gridCol w:w="442"/>
        <w:gridCol w:w="6"/>
        <w:gridCol w:w="405"/>
        <w:gridCol w:w="807"/>
        <w:gridCol w:w="778"/>
        <w:gridCol w:w="68"/>
        <w:gridCol w:w="367"/>
        <w:gridCol w:w="135"/>
        <w:gridCol w:w="1076"/>
        <w:gridCol w:w="403"/>
        <w:gridCol w:w="530"/>
        <w:gridCol w:w="287"/>
        <w:gridCol w:w="659"/>
        <w:gridCol w:w="1229"/>
        <w:gridCol w:w="465"/>
      </w:tblGrid>
      <w:tr w:rsidR="00F64392" w14:paraId="2DD5A919" w14:textId="77777777">
        <w:trPr>
          <w:gridAfter w:val="1"/>
          <w:wAfter w:w="465" w:type="dxa"/>
          <w:trHeight w:val="469"/>
        </w:trPr>
        <w:tc>
          <w:tcPr>
            <w:tcW w:w="20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0929" w14:textId="78F6180C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DC9BAA1" wp14:editId="2ECE24CE">
                  <wp:extent cx="733425" cy="733425"/>
                  <wp:effectExtent l="0" t="0" r="9525" b="9525"/>
                  <wp:docPr id="2588412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31FA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2188139F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П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равни факултет</w:t>
            </w:r>
          </w:p>
        </w:tc>
        <w:tc>
          <w:tcPr>
            <w:tcW w:w="22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80" w:rightFromText="180" w:vertAnchor="text" w:horzAnchor="margin" w:tblpY="-6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33"/>
            </w:tblGrid>
            <w:tr w:rsidR="00F64392" w14:paraId="5CD52E37" w14:textId="77777777">
              <w:trPr>
                <w:trHeight w:val="1976"/>
              </w:trPr>
              <w:tc>
                <w:tcPr>
                  <w:tcW w:w="23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C657F65" w14:textId="4D13078A" w:rsidR="00F64392" w:rsidRDefault="00F64392">
                  <w:pPr>
                    <w:jc w:val="both"/>
                    <w:rPr>
                      <w:sz w:val="18"/>
                      <w:szCs w:val="18"/>
                      <w:lang w:val="sr-Cyrl-CS"/>
                    </w:rPr>
                  </w:pPr>
                  <w:r>
                    <w:rPr>
                      <w:noProof/>
                      <w:sz w:val="18"/>
                      <w:szCs w:val="18"/>
                      <w:lang w:val="en-GB" w:eastAsia="en-GB"/>
                    </w:rPr>
                    <w:drawing>
                      <wp:inline distT="0" distB="0" distL="0" distR="0" wp14:anchorId="4F099BFD" wp14:editId="14056A91">
                        <wp:extent cx="1096645" cy="964565"/>
                        <wp:effectExtent l="0" t="0" r="8255" b="6985"/>
                        <wp:docPr id="732058059" name="Picture 1" descr="pecat_ver_1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pecat_ver_1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6645" cy="964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5ADCCD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F64392" w14:paraId="32D15DDB" w14:textId="77777777">
        <w:trPr>
          <w:gridAfter w:val="1"/>
          <w:wAfter w:w="465" w:type="dxa"/>
          <w:trHeight w:val="366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EB09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2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579B8FF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  <w:lang w:val="sr-Cyrl-BA"/>
              </w:rPr>
              <w:t>Студијски програм: П</w:t>
            </w:r>
            <w:r>
              <w:rPr>
                <w:rFonts w:ascii="Arial Narrow" w:hAnsi="Arial Narrow"/>
                <w:b/>
                <w:i/>
                <w:sz w:val="20"/>
                <w:szCs w:val="20"/>
                <w:lang w:val="sr-Latn-CS"/>
              </w:rPr>
              <w:t>раво</w:t>
            </w: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EAE0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F64392" w14:paraId="6DF0E11A" w14:textId="77777777">
        <w:trPr>
          <w:gridAfter w:val="1"/>
          <w:wAfter w:w="465" w:type="dxa"/>
          <w:trHeight w:val="1114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632B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6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1C79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CS"/>
              </w:rPr>
              <w:t xml:space="preserve">I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2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1C1B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CS"/>
              </w:rPr>
              <w:t xml:space="preserve">III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22F4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F64392" w14:paraId="24EB2139" w14:textId="77777777">
        <w:trPr>
          <w:gridAfter w:val="1"/>
          <w:wAfter w:w="465" w:type="dxa"/>
        </w:trPr>
        <w:tc>
          <w:tcPr>
            <w:tcW w:w="2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F88307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Пун назив предмета</w:t>
            </w:r>
          </w:p>
        </w:tc>
        <w:tc>
          <w:tcPr>
            <w:tcW w:w="75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82A0" w14:textId="77777777" w:rsidR="00F64392" w:rsidRPr="00BD0B92" w:rsidRDefault="00F64392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CS"/>
              </w:rPr>
            </w:pP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CS"/>
              </w:rPr>
              <w:t>КРИВИЧНО ПРОЦЕСНО ПРАВО ПОСЕБНИ ДИО</w:t>
            </w:r>
          </w:p>
        </w:tc>
      </w:tr>
      <w:tr w:rsidR="00F64392" w14:paraId="17DEFDB0" w14:textId="77777777">
        <w:trPr>
          <w:gridAfter w:val="1"/>
          <w:wAfter w:w="465" w:type="dxa"/>
        </w:trPr>
        <w:tc>
          <w:tcPr>
            <w:tcW w:w="2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664D2A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Катедра</w:t>
            </w: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ab/>
            </w:r>
          </w:p>
        </w:tc>
        <w:tc>
          <w:tcPr>
            <w:tcW w:w="75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2CB5" w14:textId="51BE5E35" w:rsidR="00F64392" w:rsidRPr="00BD0B92" w:rsidRDefault="00F64392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</w:pP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Кривична катедра  -Правни факултет</w:t>
            </w:r>
            <w:r w:rsid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Универзитета у </w:t>
            </w: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Источно</w:t>
            </w:r>
            <w:r w:rsid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м </w:t>
            </w: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Сарајев</w:t>
            </w:r>
            <w:r w:rsid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у</w:t>
            </w: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– Пале</w:t>
            </w:r>
          </w:p>
        </w:tc>
      </w:tr>
      <w:tr w:rsidR="00F64392" w14:paraId="43952CB2" w14:textId="77777777">
        <w:trPr>
          <w:gridAfter w:val="1"/>
          <w:wAfter w:w="465" w:type="dxa"/>
          <w:trHeight w:val="471"/>
        </w:trPr>
        <w:tc>
          <w:tcPr>
            <w:tcW w:w="294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B70BEC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Шифра предмета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514568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Статус предмета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E09D77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22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05D3A4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ECTS</w:t>
            </w:r>
          </w:p>
        </w:tc>
      </w:tr>
      <w:tr w:rsidR="00F64392" w14:paraId="0BD328E4" w14:textId="77777777">
        <w:trPr>
          <w:trHeight w:val="229"/>
        </w:trPr>
        <w:tc>
          <w:tcPr>
            <w:tcW w:w="30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74A4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149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9876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42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BB63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9A9B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51DC1" w14:textId="77777777" w:rsidR="00F64392" w:rsidRDefault="00F64392">
            <w:pPr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</w:tr>
      <w:tr w:rsidR="00F64392" w14:paraId="3B32AF9C" w14:textId="77777777">
        <w:tc>
          <w:tcPr>
            <w:tcW w:w="2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7A03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ПФ-1-6- 018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8DFE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обавезан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3F5D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CS"/>
              </w:rPr>
              <w:t>V</w:t>
            </w:r>
            <w:r>
              <w:rPr>
                <w:rFonts w:ascii="Arial Narrow" w:hAnsi="Arial Narrow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9073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7</w:t>
            </w:r>
          </w:p>
        </w:tc>
        <w:tc>
          <w:tcPr>
            <w:tcW w:w="480" w:type="dxa"/>
            <w:vAlign w:val="center"/>
            <w:hideMark/>
          </w:tcPr>
          <w:p w14:paraId="70E2786C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5087F9FF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87CE90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Наставник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2A73" w14:textId="4915029F" w:rsidR="00F64392" w:rsidRPr="00BD0B92" w:rsidRDefault="00BD0B92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Проф. др </w:t>
            </w:r>
            <w:r w:rsidR="00F64392"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Младенка Говедарица, </w:t>
            </w:r>
            <w:r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редовни</w:t>
            </w:r>
            <w:r w:rsidR="00F64392" w:rsidRPr="00BD0B9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професор</w:t>
            </w:r>
          </w:p>
        </w:tc>
        <w:tc>
          <w:tcPr>
            <w:tcW w:w="480" w:type="dxa"/>
            <w:vAlign w:val="center"/>
            <w:hideMark/>
          </w:tcPr>
          <w:p w14:paraId="20C56A33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EDAEB26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8E92D1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Сарадник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13F8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46420C33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04C517A" w14:textId="77777777">
        <w:tc>
          <w:tcPr>
            <w:tcW w:w="3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7BFCDA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Фонд часова/ наставно оптерећење (седмично)</w:t>
            </w:r>
          </w:p>
        </w:tc>
        <w:tc>
          <w:tcPr>
            <w:tcW w:w="38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A00E57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Индивидуално оптерећење студента (у сатима семестрално)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52DC99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Коефицијент студентског оптерећења </w:t>
            </w: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  <w:r>
              <w:rPr>
                <w:rFonts w:ascii="Arial Narrow" w:hAnsi="Arial Narrow"/>
                <w:b/>
                <w:sz w:val="20"/>
                <w:szCs w:val="20"/>
                <w:vertAlign w:val="superscript"/>
                <w:lang w:val="sr-Latn-BA"/>
              </w:rPr>
              <w:footnoteReference w:id="1"/>
            </w:r>
          </w:p>
        </w:tc>
        <w:tc>
          <w:tcPr>
            <w:tcW w:w="480" w:type="dxa"/>
            <w:vAlign w:val="center"/>
            <w:hideMark/>
          </w:tcPr>
          <w:p w14:paraId="22E5ADE1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5C016EE5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DE8CC2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CAEDB4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0DFCB6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A4C8BA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B57604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7D4740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A234D40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</w:p>
        </w:tc>
        <w:tc>
          <w:tcPr>
            <w:tcW w:w="480" w:type="dxa"/>
            <w:vAlign w:val="center"/>
            <w:hideMark/>
          </w:tcPr>
          <w:p w14:paraId="2757526A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0477C555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1E7C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45F9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53E0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79DE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3*15*1,4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E3B0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2*15*1,4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8698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0*15*1,4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3CC7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1,4</w:t>
            </w:r>
          </w:p>
        </w:tc>
        <w:tc>
          <w:tcPr>
            <w:tcW w:w="480" w:type="dxa"/>
            <w:vAlign w:val="center"/>
            <w:hideMark/>
          </w:tcPr>
          <w:p w14:paraId="46B763AD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100F2141" w14:textId="77777777">
        <w:tc>
          <w:tcPr>
            <w:tcW w:w="4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0D6C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наставно оптерећење (у сатима, семестрално) </w:t>
            </w:r>
          </w:p>
          <w:p w14:paraId="25419CE9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45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30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+ 0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=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75h</w:t>
            </w:r>
          </w:p>
        </w:tc>
        <w:tc>
          <w:tcPr>
            <w:tcW w:w="49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64B8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студентско оптерећење (у сатима, семестрално) </w:t>
            </w:r>
          </w:p>
          <w:p w14:paraId="257DE207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3*15*1,4 + 2*15*1,4 + 0*15*1,4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=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T</w:t>
            </w:r>
          </w:p>
          <w:p w14:paraId="6954F1B2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63+ 31,4 + 0=94,4h</w:t>
            </w:r>
          </w:p>
        </w:tc>
        <w:tc>
          <w:tcPr>
            <w:tcW w:w="480" w:type="dxa"/>
            <w:vAlign w:val="center"/>
            <w:hideMark/>
          </w:tcPr>
          <w:p w14:paraId="7AC91A9E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71EC77F5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65D9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Укупно оптерећење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предмета (наставно + студентско):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75h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>94,4h = 169,4h =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U</w:t>
            </w:r>
            <w:r>
              <w:rPr>
                <w:rFonts w:ascii="Arial Narrow" w:hAnsi="Arial Narrow"/>
                <w:sz w:val="20"/>
                <w:szCs w:val="20"/>
                <w:vertAlign w:val="subscript"/>
                <w:lang w:val="sr-Latn-BA"/>
              </w:rPr>
              <w:t>opt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сати семестрално</w:t>
            </w:r>
          </w:p>
        </w:tc>
        <w:tc>
          <w:tcPr>
            <w:tcW w:w="480" w:type="dxa"/>
            <w:vAlign w:val="center"/>
            <w:hideMark/>
          </w:tcPr>
          <w:p w14:paraId="2BFF0841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3A58676D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C2E3BF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Исходи учења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E60A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1. стиче општа теоријска знања </w:t>
            </w:r>
          </w:p>
          <w:p w14:paraId="0630C456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2. стиче практична знања и вјештине</w:t>
            </w:r>
          </w:p>
          <w:p w14:paraId="17E8BB49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3. стиче способност анализе правних проблема ове области</w:t>
            </w:r>
          </w:p>
          <w:p w14:paraId="5665A128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4. стичу способност континуираног праћења и примјене домаћих правних прописа из ове области права</w:t>
            </w:r>
          </w:p>
        </w:tc>
        <w:tc>
          <w:tcPr>
            <w:tcW w:w="480" w:type="dxa"/>
            <w:vAlign w:val="center"/>
            <w:hideMark/>
          </w:tcPr>
          <w:p w14:paraId="13E459DE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13FA7058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8488E7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Условљеност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EA9F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Претходно положени предмет Кривично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процесно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право општи дио</w:t>
            </w:r>
          </w:p>
        </w:tc>
        <w:tc>
          <w:tcPr>
            <w:tcW w:w="480" w:type="dxa"/>
            <w:vAlign w:val="center"/>
            <w:hideMark/>
          </w:tcPr>
          <w:p w14:paraId="0D29B466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382558AA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B497CB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Наставне методе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0695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Предавање, вјежбе,теренска настава, практични рад</w:t>
            </w:r>
          </w:p>
        </w:tc>
        <w:tc>
          <w:tcPr>
            <w:tcW w:w="480" w:type="dxa"/>
            <w:vAlign w:val="center"/>
            <w:hideMark/>
          </w:tcPr>
          <w:p w14:paraId="7D797909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570DF0AB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C7381E" w14:textId="77777777" w:rsidR="00F64392" w:rsidRDefault="00F6439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Садржај предмета по седмицама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9FE0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 </w:t>
            </w: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Појам, задатак и обиљежја претходног поступка</w:t>
            </w:r>
          </w:p>
          <w:p w14:paraId="1CC2516F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Истрага</w:t>
            </w:r>
          </w:p>
          <w:p w14:paraId="65BAC8F1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Појам и циљ</w:t>
            </w:r>
          </w:p>
          <w:p w14:paraId="49BBB98A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Пријављивање кривичног дјела</w:t>
            </w:r>
          </w:p>
          <w:p w14:paraId="41C9C3DE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Спровођење истраге</w:t>
            </w:r>
          </w:p>
          <w:p w14:paraId="746BE23A" w14:textId="4B6DCCFF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2.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Надзор тужиоца над радом ОСЛ</w:t>
            </w:r>
          </w:p>
          <w:p w14:paraId="69D2CF51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Радње које предузима ОСЛ</w:t>
            </w:r>
          </w:p>
          <w:p w14:paraId="57684731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Преглед, обдукција и ексхумација</w:t>
            </w:r>
          </w:p>
          <w:p w14:paraId="56800ACD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Судско обезбјеђење доказа </w:t>
            </w:r>
          </w:p>
          <w:p w14:paraId="092B38D0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Завршетак истраге </w:t>
            </w:r>
          </w:p>
          <w:p w14:paraId="5A2F2AF9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3.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Поступак стављања под оптужбу</w:t>
            </w:r>
          </w:p>
          <w:p w14:paraId="5E908120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Појам оптужнице</w:t>
            </w:r>
          </w:p>
          <w:p w14:paraId="68B68D54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Подизање оптужнице и њена садржина</w:t>
            </w:r>
          </w:p>
          <w:p w14:paraId="3E58AE27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Поступање суда са оптужницом</w:t>
            </w:r>
          </w:p>
          <w:p w14:paraId="6B1DD174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Процесне посљедице потврђивања оптужнице</w:t>
            </w:r>
          </w:p>
          <w:p w14:paraId="71F92D53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Подношење нове или измјењене оптужнице</w:t>
            </w:r>
          </w:p>
          <w:p w14:paraId="7F4CAF6D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Став оптуженог у односу на наводе оптужбе </w:t>
            </w:r>
          </w:p>
          <w:p w14:paraId="3BF2E68D" w14:textId="77777777" w:rsidR="00F64392" w:rsidRPr="00BD0B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>4.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BD0B92">
              <w:rPr>
                <w:rFonts w:ascii="Arial" w:hAnsi="Arial" w:cs="Arial"/>
                <w:sz w:val="18"/>
                <w:szCs w:val="18"/>
                <w:lang w:val="sr-Cyrl-CS"/>
              </w:rPr>
              <w:t>Разматрање изјаве о признању кривице</w:t>
            </w:r>
          </w:p>
          <w:p w14:paraId="70839619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Преговарање о кривици</w:t>
            </w:r>
          </w:p>
          <w:p w14:paraId="032225FC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Одлуке суда о признавању кривице</w:t>
            </w:r>
          </w:p>
          <w:p w14:paraId="5017F369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Повлачење оптужнице</w:t>
            </w:r>
          </w:p>
          <w:p w14:paraId="41E1EC32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Претходни приговори</w:t>
            </w:r>
          </w:p>
          <w:p w14:paraId="132F1DF9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5.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Главни поступак (појам)</w:t>
            </w:r>
          </w:p>
          <w:p w14:paraId="119D8AD7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Предпретресно рочиште</w:t>
            </w:r>
          </w:p>
          <w:p w14:paraId="63E4021E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Главни претрес (појам, претпоставке, руковођење)</w:t>
            </w:r>
          </w:p>
          <w:p w14:paraId="3D321297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Ток главног претреса (улазак судије, вијећа, отварање засједања, почетак претреса, доказни поступак)</w:t>
            </w:r>
          </w:p>
          <w:p w14:paraId="44FFEE97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Одлагање и прекидање претреса, одржавање реда на претресу, записници, чување материјалних доказа</w:t>
            </w:r>
          </w:p>
          <w:p w14:paraId="2970F87D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Доношење и објављивање пресуде</w:t>
            </w:r>
          </w:p>
          <w:p w14:paraId="6DF9A0E2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6.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Поступак по правним лијековима (појам,основи, врсте, субјекти, ограничења у побијању, обим побијања, дејство правног лијека, формалности употребе правних лијекова)</w:t>
            </w:r>
          </w:p>
          <w:p w14:paraId="1C9DF743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7.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Редовни правни лијекови</w:t>
            </w:r>
          </w:p>
          <w:p w14:paraId="7323943D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Жалба на пресуду првостепеног суда</w:t>
            </w:r>
          </w:p>
          <w:p w14:paraId="36FACC44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Жалба на пресуду другостепеног суда</w:t>
            </w:r>
          </w:p>
          <w:p w14:paraId="4E7B19F4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Жалба на рјешење</w:t>
            </w:r>
          </w:p>
          <w:p w14:paraId="639F89E5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8.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Ванредни правни лијекови</w:t>
            </w:r>
          </w:p>
          <w:p w14:paraId="7A79F160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Понављање кривичног поступка </w:t>
            </w:r>
          </w:p>
          <w:p w14:paraId="332DF240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Лица овлашћена на подношење захтјева за понављање кривичног поступка</w:t>
            </w:r>
          </w:p>
          <w:p w14:paraId="04B35D31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Захтјев за заштиту законитости</w:t>
            </w:r>
          </w:p>
          <w:p w14:paraId="700ACF67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Правноснажност и извршност судских одлука</w:t>
            </w:r>
          </w:p>
          <w:p w14:paraId="7F362D17" w14:textId="77777777" w:rsidR="00BD0B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9.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Посебни кривични поступци (појам).</w:t>
            </w:r>
            <w:r w:rsidR="00BD0B92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  <w:p w14:paraId="5203FE90" w14:textId="6F908B4F" w:rsidR="00BD0B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Поступак за издавање казненог налога</w:t>
            </w:r>
          </w:p>
          <w:p w14:paraId="70625BAD" w14:textId="5C6CB90D" w:rsidR="00F643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Кривични поступак према малољетницима (припремни поступак, првостепени поступак, правни лијекови, надзор суда над спровођењем мјера, измјене одлуке о васпитним мјерама и обустава њиховог извршења.</w:t>
            </w:r>
          </w:p>
          <w:p w14:paraId="231BBE73" w14:textId="77777777" w:rsidR="00BD0B92" w:rsidRDefault="00F64392" w:rsidP="00BD0B92">
            <w:pPr>
              <w:spacing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10.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Поступак против правних лица (одговорност правног лица за кривично дјело, оправдање овог посебног поступка, спајање са кривичним поступком против физичког лица и њихово јединствено вођење, опортунитет у поступку против правних лица, заступник и бранилац правног лица, оптужница, саслушање и завршна ријеч, пресуда правном лицу).</w:t>
            </w: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 </w:t>
            </w:r>
          </w:p>
          <w:p w14:paraId="0863E893" w14:textId="173D3B61" w:rsidR="00F643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11.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Посебни некривични поступци (поступак у случају наступања душевне болести, поступак у случају неурачунљивости, поступак у случају обавезног лијечења од зависности, поступак за изрицање мјера безбједности обавезног психијатријског лијечења у Републици Српској, изрицање мјере одузимања предмета и имовинске користи, поступак опозивања условне осуде, поступак за брисање осуде, поступак за престанак одређених мјера безбједности и правних посљедица осуде).</w:t>
            </w:r>
          </w:p>
          <w:p w14:paraId="7BDDF217" w14:textId="77777777" w:rsidR="00F643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12.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Поступци за пружање међународне кривичноправне помоћи (појам, значај и правно регулисање међународне кривичноправне помоћи). Међународна кривичноправна помоћ у ужем смислу. Поступак за извршење кривичне пресуде иностраног суда.</w:t>
            </w:r>
          </w:p>
          <w:p w14:paraId="0C9D6062" w14:textId="77777777" w:rsidR="00F64392" w:rsidRDefault="00F64392" w:rsidP="00BD0B9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13.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Уступање кривичног гоњења страној држави. Изручење осумњичених, оптужених и осуђених лица (Екстрадиција)</w:t>
            </w:r>
          </w:p>
          <w:p w14:paraId="0C87452E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14.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Поступак за накнаду штете, рехабилитацију и остваривање других права лица неоправдано осуђених и неосновано лишених слободе</w:t>
            </w:r>
          </w:p>
          <w:p w14:paraId="7839E0F0" w14:textId="77777777" w:rsidR="00F64392" w:rsidRDefault="00F643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15.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Појам неоправдано осуђеног лица, појам лица неосновано лишеног слободе, појам неоправдано осуђеног лица, насљедници неоправдано осуђеног лица и лица неосновано лишеног слободе, пасивна легитимација, поступак за накнаду штете, морална рехабилитација. Поступак за издавање потјернице и објаве</w:t>
            </w:r>
            <w:r w:rsidR="00BD0B92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  <w:p w14:paraId="3C75A451" w14:textId="7A65FCD1" w:rsidR="00BD0B92" w:rsidRDefault="00BD0B92" w:rsidP="00BD0B92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480" w:type="dxa"/>
            <w:vAlign w:val="center"/>
            <w:hideMark/>
          </w:tcPr>
          <w:p w14:paraId="082D9085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0B31D987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D6AC5B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 xml:space="preserve">Обавезна литература </w:t>
            </w:r>
          </w:p>
        </w:tc>
        <w:tc>
          <w:tcPr>
            <w:tcW w:w="480" w:type="dxa"/>
            <w:vAlign w:val="center"/>
            <w:hideMark/>
          </w:tcPr>
          <w:p w14:paraId="629F0FE6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4C95F1AA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72C3E5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D1F657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452C1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478636" w14:textId="77777777" w:rsidR="00F64392" w:rsidRDefault="00F64392" w:rsidP="00BD0B92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  <w:tc>
          <w:tcPr>
            <w:tcW w:w="480" w:type="dxa"/>
            <w:vAlign w:val="center"/>
            <w:hideMark/>
          </w:tcPr>
          <w:p w14:paraId="28F4A620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5BB0F51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F102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Миодраг Симовић</w:t>
            </w:r>
          </w:p>
          <w:p w14:paraId="4E7EA2E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Владимир Симовић</w:t>
            </w:r>
          </w:p>
          <w:p w14:paraId="6B3D700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Младенка Говедарица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0FF0" w14:textId="21070694" w:rsidR="00BD0B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Кривично процесно право II,</w:t>
            </w:r>
            <w:r w:rsidR="00BD0B92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посебни дио</w:t>
            </w:r>
          </w:p>
          <w:p w14:paraId="2F00C2FF" w14:textId="67307994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Правни факултет Универзитета у 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>Источном Сарајеву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787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2021.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5B08" w14:textId="3FFE2743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          17</w:t>
            </w:r>
            <w:r w:rsidR="00BD0B92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-</w:t>
            </w:r>
            <w:r w:rsidR="00BD0B92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331</w:t>
            </w:r>
          </w:p>
        </w:tc>
        <w:tc>
          <w:tcPr>
            <w:tcW w:w="480" w:type="dxa"/>
            <w:vAlign w:val="center"/>
            <w:hideMark/>
          </w:tcPr>
          <w:p w14:paraId="17AD12E8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13F9B027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3706" w14:textId="77777777" w:rsidR="00BD0B92" w:rsidRDefault="00BD0B92" w:rsidP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Миодраг Симовић</w:t>
            </w:r>
          </w:p>
          <w:p w14:paraId="133BC690" w14:textId="77777777" w:rsidR="00BD0B92" w:rsidRDefault="00BD0B92" w:rsidP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Владимир Симовић</w:t>
            </w:r>
          </w:p>
          <w:p w14:paraId="544789BD" w14:textId="773D2C92" w:rsidR="00F64392" w:rsidRDefault="00BD0B92" w:rsidP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Младенка Говедарица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095C" w14:textId="1238F9A7" w:rsidR="00BD0B92" w:rsidRDefault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Кривично процесно право II,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посебни дио</w:t>
            </w:r>
          </w:p>
          <w:p w14:paraId="577C0667" w14:textId="4231369D" w:rsidR="00F64392" w:rsidRDefault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Правни факултет Универзитета у 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>Источном Сарајеву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8917" w14:textId="7AE80B93" w:rsidR="00F64392" w:rsidRDefault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2026.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11DE" w14:textId="737D7F7D" w:rsidR="00F64392" w:rsidRDefault="00BD0B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          15 - 376</w:t>
            </w:r>
          </w:p>
        </w:tc>
        <w:tc>
          <w:tcPr>
            <w:tcW w:w="480" w:type="dxa"/>
            <w:vAlign w:val="center"/>
            <w:hideMark/>
          </w:tcPr>
          <w:p w14:paraId="04F05BAD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54B6F273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E77366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Допунска литература</w:t>
            </w:r>
          </w:p>
        </w:tc>
        <w:tc>
          <w:tcPr>
            <w:tcW w:w="480" w:type="dxa"/>
            <w:vAlign w:val="center"/>
            <w:hideMark/>
          </w:tcPr>
          <w:p w14:paraId="064308D8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3B651870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801786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318D2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ABD90E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B29A5F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  <w:tc>
          <w:tcPr>
            <w:tcW w:w="480" w:type="dxa"/>
            <w:vAlign w:val="center"/>
            <w:hideMark/>
          </w:tcPr>
          <w:p w14:paraId="36D8EF67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0D022D0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483F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5E46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5E8D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06C3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53441E1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D29FC72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69B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723F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94A8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CC98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362CBBB6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4B4C0F55" w14:textId="77777777">
        <w:trPr>
          <w:trHeight w:val="83"/>
        </w:trPr>
        <w:tc>
          <w:tcPr>
            <w:tcW w:w="16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69E9E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Обавезе, облици провјере знања и оцјењивање</w:t>
            </w: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C00152" w14:textId="77777777" w:rsidR="00F64392" w:rsidRDefault="00F6439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Врста евалуације рада студента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FF6C3F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Бодови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E89557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Проценат</w:t>
            </w:r>
          </w:p>
        </w:tc>
        <w:tc>
          <w:tcPr>
            <w:tcW w:w="480" w:type="dxa"/>
            <w:vAlign w:val="center"/>
            <w:hideMark/>
          </w:tcPr>
          <w:p w14:paraId="46B5E62C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353C3458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188E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CFE9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Предиспитне обавезе</w:t>
            </w:r>
          </w:p>
        </w:tc>
        <w:tc>
          <w:tcPr>
            <w:tcW w:w="480" w:type="dxa"/>
            <w:vAlign w:val="center"/>
            <w:hideMark/>
          </w:tcPr>
          <w:p w14:paraId="1823ECB2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4F7179A6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D8FA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D3D3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присуство предавањима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19CC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8047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682ADD1C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2F9E293D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C685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C7C5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присуство вјежбама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6FCF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4E97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7A15C11B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7677A9B4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C986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F4A4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тест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250D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25BC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267781D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23C116E3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4EEE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FA12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колоквијум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56CF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2DFA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88F7D27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2C7B6CD7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D483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7B74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семинарски рад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177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E41D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165DEDE0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298716D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2C01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92C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0969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E579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588E351D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64E0407A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3EEA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4218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Завршни испит</w:t>
            </w:r>
          </w:p>
        </w:tc>
        <w:tc>
          <w:tcPr>
            <w:tcW w:w="480" w:type="dxa"/>
            <w:vAlign w:val="center"/>
            <w:hideMark/>
          </w:tcPr>
          <w:p w14:paraId="1FAA5735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287A92ED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7951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C89B" w14:textId="77777777" w:rsidR="00F64392" w:rsidRDefault="00F64392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усмени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B447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51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FD0E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0FDCE645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18F4DB82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47DF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EB36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УКУПНО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4F1C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B7F7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100 %</w:t>
            </w:r>
          </w:p>
        </w:tc>
        <w:tc>
          <w:tcPr>
            <w:tcW w:w="480" w:type="dxa"/>
            <w:vAlign w:val="center"/>
            <w:hideMark/>
          </w:tcPr>
          <w:p w14:paraId="241D73EC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64392" w14:paraId="589B9105" w14:textId="77777777">
        <w:trPr>
          <w:trHeight w:val="27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95DB9A" w14:textId="77777777" w:rsidR="00F64392" w:rsidRDefault="00F64392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Датум овјере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6077" w14:textId="77777777" w:rsidR="00F64392" w:rsidRDefault="00F64392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(унијети задњи датум усвајања овог силабуса на сједници Вијећа)</w:t>
            </w:r>
          </w:p>
        </w:tc>
        <w:tc>
          <w:tcPr>
            <w:tcW w:w="480" w:type="dxa"/>
            <w:vAlign w:val="center"/>
            <w:hideMark/>
          </w:tcPr>
          <w:p w14:paraId="697F6D93" w14:textId="77777777" w:rsidR="00F64392" w:rsidRDefault="00F643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14:paraId="631746E1" w14:textId="77777777" w:rsidR="00F64392" w:rsidRDefault="00F64392" w:rsidP="00F64392">
      <w:pPr>
        <w:rPr>
          <w:rFonts w:ascii="Arial Narrow" w:hAnsi="Arial Narrow"/>
          <w:sz w:val="18"/>
          <w:szCs w:val="20"/>
          <w:lang w:val="sr-Cyrl-BA"/>
        </w:rPr>
      </w:pPr>
    </w:p>
    <w:p w14:paraId="0F070C52" w14:textId="77777777" w:rsidR="00F64392" w:rsidRDefault="00F64392" w:rsidP="00F64392"/>
    <w:p w14:paraId="1C704C74" w14:textId="77777777" w:rsidR="00F64392" w:rsidRDefault="00F64392" w:rsidP="00F64392"/>
    <w:p w14:paraId="1B31CD7E" w14:textId="77777777" w:rsidR="00F64392" w:rsidRDefault="00F64392" w:rsidP="00F64392"/>
    <w:p w14:paraId="0D93BAC0" w14:textId="77777777" w:rsidR="00483CFF" w:rsidRDefault="00483CFF"/>
    <w:sectPr w:rsidR="00483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96C2" w14:textId="77777777" w:rsidR="00A3153E" w:rsidRDefault="00A3153E" w:rsidP="00F64392">
      <w:pPr>
        <w:spacing w:after="0" w:line="240" w:lineRule="auto"/>
      </w:pPr>
      <w:r>
        <w:separator/>
      </w:r>
    </w:p>
  </w:endnote>
  <w:endnote w:type="continuationSeparator" w:id="0">
    <w:p w14:paraId="5C6DB894" w14:textId="77777777" w:rsidR="00A3153E" w:rsidRDefault="00A3153E" w:rsidP="00F64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EBCEB" w14:textId="77777777" w:rsidR="00A3153E" w:rsidRDefault="00A3153E" w:rsidP="00F64392">
      <w:pPr>
        <w:spacing w:after="0" w:line="240" w:lineRule="auto"/>
      </w:pPr>
      <w:r>
        <w:separator/>
      </w:r>
    </w:p>
  </w:footnote>
  <w:footnote w:type="continuationSeparator" w:id="0">
    <w:p w14:paraId="6B109F8D" w14:textId="77777777" w:rsidR="00A3153E" w:rsidRDefault="00A3153E" w:rsidP="00F64392">
      <w:pPr>
        <w:spacing w:after="0" w:line="240" w:lineRule="auto"/>
      </w:pPr>
      <w:r>
        <w:continuationSeparator/>
      </w:r>
    </w:p>
  </w:footnote>
  <w:footnote w:id="1">
    <w:p w14:paraId="60A51BF6" w14:textId="77777777" w:rsidR="00F64392" w:rsidRDefault="00F64392" w:rsidP="00F64392">
      <w:pPr>
        <w:pStyle w:val="FootnoteText"/>
        <w:rPr>
          <w:rFonts w:ascii="Arial Narrow" w:hAnsi="Arial Narrow"/>
          <w:sz w:val="16"/>
          <w:szCs w:val="16"/>
        </w:rPr>
      </w:pPr>
      <w:r>
        <w:rPr>
          <w:rStyle w:val="FootnoteReference"/>
          <w:rFonts w:ascii="Calibri" w:hAnsi="Calibri"/>
        </w:rPr>
        <w:footnoteRef/>
      </w:r>
      <w:r>
        <w:t xml:space="preserve"> </w:t>
      </w:r>
      <w:r>
        <w:rPr>
          <w:rFonts w:ascii="Arial Narrow" w:hAnsi="Arial Narrow"/>
          <w:sz w:val="16"/>
          <w:szCs w:val="16"/>
          <w:lang w:val="sr-Cyrl-BA"/>
        </w:rPr>
        <w:t xml:space="preserve">Коефицијент студентског оптерећења </w:t>
      </w:r>
      <w:r>
        <w:rPr>
          <w:rFonts w:ascii="Arial Narrow" w:hAnsi="Arial Narrow"/>
          <w:sz w:val="16"/>
          <w:szCs w:val="16"/>
          <w:lang w:val="sr-Latn-BA"/>
        </w:rPr>
        <w:t>S</w:t>
      </w:r>
      <w:r>
        <w:rPr>
          <w:rFonts w:ascii="Arial Narrow" w:hAnsi="Arial Narrow"/>
          <w:sz w:val="16"/>
          <w:szCs w:val="16"/>
          <w:vertAlign w:val="subscript"/>
          <w:lang w:val="sr-Latn-BA"/>
        </w:rPr>
        <w:t xml:space="preserve">o </w:t>
      </w:r>
      <w:r>
        <w:rPr>
          <w:rFonts w:ascii="Arial Narrow" w:hAnsi="Arial Narrow"/>
          <w:sz w:val="16"/>
          <w:szCs w:val="16"/>
        </w:rPr>
        <w:t>се рачуна</w:t>
      </w:r>
      <w:r>
        <w:rPr>
          <w:rFonts w:ascii="Arial Narrow" w:hAnsi="Arial Narrow"/>
          <w:sz w:val="16"/>
          <w:szCs w:val="16"/>
          <w:lang w:val="sr-Cyrl-BA"/>
        </w:rPr>
        <w:t xml:space="preserve"> на сљедећи начин</w:t>
      </w:r>
      <w:r>
        <w:rPr>
          <w:rFonts w:ascii="Arial Narrow" w:hAnsi="Arial Narrow"/>
          <w:sz w:val="16"/>
          <w:szCs w:val="16"/>
        </w:rPr>
        <w:t>:</w:t>
      </w:r>
    </w:p>
    <w:p w14:paraId="392E8742" w14:textId="77777777" w:rsidR="00F64392" w:rsidRDefault="00F64392" w:rsidP="00F64392">
      <w:pPr>
        <w:pStyle w:val="FootnoteText"/>
        <w:rPr>
          <w:rFonts w:ascii="Arial Narrow" w:hAnsi="Arial Narrow"/>
          <w:sz w:val="16"/>
          <w:szCs w:val="16"/>
          <w:lang w:val="sr-Cyrl-BA"/>
        </w:rPr>
      </w:pPr>
      <w:r>
        <w:rPr>
          <w:rFonts w:ascii="Arial Narrow" w:hAnsi="Arial Narrow"/>
          <w:sz w:val="16"/>
          <w:szCs w:val="16"/>
        </w:rPr>
        <w:t xml:space="preserve">а) за студијске програме који </w:t>
      </w:r>
      <w:r>
        <w:rPr>
          <w:rFonts w:ascii="Arial Narrow" w:hAnsi="Arial Narrow"/>
          <w:sz w:val="16"/>
          <w:szCs w:val="16"/>
          <w:lang w:val="sr-Cyrl-BA"/>
        </w:rPr>
        <w:t xml:space="preserve">не </w:t>
      </w:r>
      <w:r>
        <w:rPr>
          <w:rFonts w:ascii="Arial Narrow" w:hAnsi="Arial Narrow"/>
          <w:sz w:val="16"/>
          <w:szCs w:val="16"/>
        </w:rPr>
        <w:t xml:space="preserve">иду на лиценцирање: </w:t>
      </w:r>
      <w:r>
        <w:rPr>
          <w:rFonts w:ascii="Arial Narrow" w:hAnsi="Arial Narrow"/>
          <w:sz w:val="16"/>
          <w:szCs w:val="16"/>
          <w:lang w:val="sr-Latn-BA"/>
        </w:rPr>
        <w:t>S</w:t>
      </w:r>
      <w:r>
        <w:rPr>
          <w:rFonts w:ascii="Arial Narrow" w:hAnsi="Arial Narrow"/>
          <w:sz w:val="16"/>
          <w:szCs w:val="16"/>
          <w:vertAlign w:val="subscript"/>
          <w:lang w:val="sr-Latn-BA"/>
        </w:rPr>
        <w:t>o</w:t>
      </w:r>
      <w:r>
        <w:rPr>
          <w:rFonts w:ascii="Arial Narrow" w:hAnsi="Arial Narrow"/>
          <w:sz w:val="16"/>
          <w:szCs w:val="16"/>
          <w:lang w:val="sr-Cyrl-BA"/>
        </w:rPr>
        <w:t xml:space="preserve"> = (укупно оптерећење у семестру за све предмете 900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 – укупно наставно оптерећење П+В у семестру за све предмете _____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)/ укупно наставно оптерећење П+В у семестру за све предмете _____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 = ____. Погледати садржај обрасца и објашњење.</w:t>
      </w:r>
    </w:p>
    <w:p w14:paraId="4907AF1D" w14:textId="77777777" w:rsidR="00F64392" w:rsidRDefault="00F64392" w:rsidP="00F64392">
      <w:pPr>
        <w:pStyle w:val="FootnoteText"/>
      </w:pPr>
      <w:r>
        <w:rPr>
          <w:rFonts w:ascii="Arial Narrow" w:hAnsi="Arial Narrow"/>
          <w:sz w:val="16"/>
          <w:szCs w:val="16"/>
          <w:lang w:val="sr-Cyrl-BA"/>
        </w:rPr>
        <w:t>б) за студијске програме који иду на лиценцирање потребно је користити садржај обрасца и објашњење.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92"/>
    <w:rsid w:val="00392DE2"/>
    <w:rsid w:val="00483CFF"/>
    <w:rsid w:val="0056410D"/>
    <w:rsid w:val="009F59D2"/>
    <w:rsid w:val="00A3153E"/>
    <w:rsid w:val="00BD0B92"/>
    <w:rsid w:val="00C66356"/>
    <w:rsid w:val="00F6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DE249"/>
  <w15:chartTrackingRefBased/>
  <w15:docId w15:val="{1BC4B5D0-3A36-435C-A3B4-92F54374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39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3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3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3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3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3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39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39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39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39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3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3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3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3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3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4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3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4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3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4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3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43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3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39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F643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64392"/>
    <w:rPr>
      <w:rFonts w:ascii="Calibri" w:eastAsia="Times New Roman" w:hAnsi="Calibri" w:cs="Times New Roman"/>
      <w:kern w:val="0"/>
      <w:sz w:val="20"/>
      <w:szCs w:val="20"/>
      <w:lang w:val="bs-Latn-BA"/>
      <w14:ligatures w14:val="none"/>
    </w:rPr>
  </w:style>
  <w:style w:type="character" w:styleId="FootnoteReference">
    <w:name w:val="footnote reference"/>
    <w:semiHidden/>
    <w:unhideWhenUsed/>
    <w:rsid w:val="00F64392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2026-09-08T09:30:00Z</dcterms:created>
  <dcterms:modified xsi:type="dcterms:W3CDTF">2026-09-08T09:47:00Z</dcterms:modified>
</cp:coreProperties>
</file>