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79"/>
        <w:gridCol w:w="404"/>
        <w:gridCol w:w="360"/>
        <w:gridCol w:w="442"/>
        <w:gridCol w:w="6"/>
        <w:gridCol w:w="405"/>
        <w:gridCol w:w="807"/>
        <w:gridCol w:w="778"/>
        <w:gridCol w:w="68"/>
        <w:gridCol w:w="367"/>
        <w:gridCol w:w="135"/>
        <w:gridCol w:w="1076"/>
        <w:gridCol w:w="403"/>
        <w:gridCol w:w="530"/>
        <w:gridCol w:w="287"/>
        <w:gridCol w:w="659"/>
        <w:gridCol w:w="1229"/>
        <w:gridCol w:w="465"/>
      </w:tblGrid>
      <w:tr w:rsidR="00113799" w14:paraId="03A0A401" w14:textId="77777777">
        <w:trPr>
          <w:gridAfter w:val="1"/>
          <w:wAfter w:w="465" w:type="dxa"/>
          <w:trHeight w:val="469"/>
        </w:trPr>
        <w:tc>
          <w:tcPr>
            <w:tcW w:w="20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266A" w14:textId="43CC2CFE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528C8BD7" wp14:editId="1616B5F4">
                  <wp:extent cx="733425" cy="733425"/>
                  <wp:effectExtent l="0" t="0" r="9525" b="9525"/>
                  <wp:docPr id="26688516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5B49B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УНИВЕРЗИТЕТ У ИСТОЧНОМ САРАЈЕВУ</w:t>
            </w:r>
          </w:p>
          <w:p w14:paraId="220E8124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П</w:t>
            </w:r>
            <w:r>
              <w:rPr>
                <w:rFonts w:ascii="Arial Narrow" w:hAnsi="Arial Narrow"/>
                <w:sz w:val="20"/>
                <w:szCs w:val="20"/>
                <w:lang w:val="sr-Cyrl-CS"/>
              </w:rPr>
              <w:t>равни факултет</w:t>
            </w:r>
          </w:p>
        </w:tc>
        <w:tc>
          <w:tcPr>
            <w:tcW w:w="22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pPr w:leftFromText="180" w:rightFromText="180" w:vertAnchor="text" w:horzAnchor="margin" w:tblpY="-61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33"/>
            </w:tblGrid>
            <w:tr w:rsidR="00113799" w14:paraId="55409397" w14:textId="77777777">
              <w:trPr>
                <w:trHeight w:val="1976"/>
              </w:trPr>
              <w:tc>
                <w:tcPr>
                  <w:tcW w:w="23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217D0BF6" w14:textId="301B039A" w:rsidR="00113799" w:rsidRDefault="00113799">
                  <w:pPr>
                    <w:jc w:val="both"/>
                    <w:rPr>
                      <w:sz w:val="18"/>
                      <w:szCs w:val="18"/>
                      <w:lang w:val="sr-Cyrl-CS"/>
                    </w:rPr>
                  </w:pPr>
                  <w:r>
                    <w:rPr>
                      <w:noProof/>
                      <w:sz w:val="18"/>
                      <w:szCs w:val="18"/>
                      <w:lang w:val="en-GB" w:eastAsia="en-GB"/>
                    </w:rPr>
                    <w:drawing>
                      <wp:inline distT="0" distB="0" distL="0" distR="0" wp14:anchorId="74DDA300" wp14:editId="0AE6DC3A">
                        <wp:extent cx="1096645" cy="964565"/>
                        <wp:effectExtent l="0" t="0" r="8255" b="6985"/>
                        <wp:docPr id="1816218842" name="Picture 1" descr="pecat_ver_1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pecat_ver_1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6645" cy="964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96ADCAD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113799" w14:paraId="59461C10" w14:textId="77777777">
        <w:trPr>
          <w:gridAfter w:val="1"/>
          <w:wAfter w:w="465" w:type="dxa"/>
          <w:trHeight w:val="366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74F5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52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653B67E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i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  <w:lang w:val="sr-Cyrl-BA"/>
              </w:rPr>
              <w:t>Студијски програм: П</w:t>
            </w:r>
            <w:r>
              <w:rPr>
                <w:rFonts w:ascii="Arial Narrow" w:hAnsi="Arial Narrow"/>
                <w:b/>
                <w:i/>
                <w:sz w:val="20"/>
                <w:szCs w:val="20"/>
                <w:lang w:val="sr-Latn-CS"/>
              </w:rPr>
              <w:t>раво</w:t>
            </w:r>
          </w:p>
        </w:tc>
        <w:tc>
          <w:tcPr>
            <w:tcW w:w="55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D14B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113799" w14:paraId="2E261275" w14:textId="77777777">
        <w:trPr>
          <w:gridAfter w:val="1"/>
          <w:wAfter w:w="465" w:type="dxa"/>
          <w:trHeight w:val="1114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F685A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26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3D07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Latn-CS"/>
              </w:rPr>
              <w:t xml:space="preserve">I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циклус студија</w:t>
            </w:r>
          </w:p>
        </w:tc>
        <w:tc>
          <w:tcPr>
            <w:tcW w:w="2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2AF5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Latn-CS"/>
              </w:rPr>
              <w:t xml:space="preserve">III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година студија</w:t>
            </w:r>
          </w:p>
        </w:tc>
        <w:tc>
          <w:tcPr>
            <w:tcW w:w="55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C4C2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</w:tr>
      <w:tr w:rsidR="00113799" w14:paraId="12C82FAC" w14:textId="77777777">
        <w:trPr>
          <w:gridAfter w:val="1"/>
          <w:wAfter w:w="465" w:type="dxa"/>
        </w:trPr>
        <w:tc>
          <w:tcPr>
            <w:tcW w:w="2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9ECD07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Пун назив предмета</w:t>
            </w:r>
          </w:p>
        </w:tc>
        <w:tc>
          <w:tcPr>
            <w:tcW w:w="75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C33B3" w14:textId="77777777" w:rsidR="00113799" w:rsidRPr="007572F2" w:rsidRDefault="00113799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  <w:lang w:val="sr-Cyrl-CS"/>
              </w:rPr>
            </w:pPr>
            <w:r w:rsidRPr="007572F2">
              <w:rPr>
                <w:rFonts w:ascii="Arial Narrow" w:hAnsi="Arial Narrow"/>
                <w:b/>
                <w:bCs/>
                <w:sz w:val="20"/>
                <w:szCs w:val="20"/>
                <w:lang w:val="sr-Cyrl-CS"/>
              </w:rPr>
              <w:t>КРИВИЧНО ПРОЦЕСНО ПРАВО ОПШТИ ДИО</w:t>
            </w:r>
          </w:p>
        </w:tc>
      </w:tr>
      <w:tr w:rsidR="00113799" w14:paraId="0BE42396" w14:textId="77777777">
        <w:trPr>
          <w:gridAfter w:val="1"/>
          <w:wAfter w:w="465" w:type="dxa"/>
        </w:trPr>
        <w:tc>
          <w:tcPr>
            <w:tcW w:w="2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D9A491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Катедра</w:t>
            </w: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ab/>
            </w:r>
          </w:p>
        </w:tc>
        <w:tc>
          <w:tcPr>
            <w:tcW w:w="75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024D" w14:textId="7A01128E" w:rsidR="00113799" w:rsidRPr="007572F2" w:rsidRDefault="00113799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</w:pPr>
            <w:r w:rsidRP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Кривична катедра  -Правни факултет </w:t>
            </w:r>
            <w:r w:rsid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Универзитета у </w:t>
            </w:r>
            <w:r w:rsidRP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Источно</w:t>
            </w:r>
            <w:r w:rsid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м</w:t>
            </w:r>
            <w:r w:rsidRP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 Сарајев</w:t>
            </w:r>
            <w:r w:rsid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у</w:t>
            </w:r>
            <w:r w:rsidRP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– Пале</w:t>
            </w:r>
          </w:p>
        </w:tc>
      </w:tr>
      <w:tr w:rsidR="00113799" w14:paraId="3F926E5D" w14:textId="77777777">
        <w:trPr>
          <w:gridAfter w:val="1"/>
          <w:wAfter w:w="465" w:type="dxa"/>
          <w:trHeight w:val="471"/>
        </w:trPr>
        <w:tc>
          <w:tcPr>
            <w:tcW w:w="294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35DC47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Шифра предмета</w:t>
            </w:r>
          </w:p>
        </w:tc>
        <w:tc>
          <w:tcPr>
            <w:tcW w:w="22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505EC5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Статус предмета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507047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Семестар</w:t>
            </w:r>
          </w:p>
        </w:tc>
        <w:tc>
          <w:tcPr>
            <w:tcW w:w="22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F01CEC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Latn-BA"/>
              </w:rPr>
              <w:t>ECTS</w:t>
            </w:r>
          </w:p>
        </w:tc>
      </w:tr>
      <w:tr w:rsidR="00113799" w14:paraId="705D980B" w14:textId="77777777">
        <w:trPr>
          <w:trHeight w:val="229"/>
        </w:trPr>
        <w:tc>
          <w:tcPr>
            <w:tcW w:w="30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0BD73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149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D28D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</w:p>
        </w:tc>
        <w:tc>
          <w:tcPr>
            <w:tcW w:w="42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22BF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</w:p>
        </w:tc>
        <w:tc>
          <w:tcPr>
            <w:tcW w:w="55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C3B8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82483" w14:textId="77777777" w:rsidR="00113799" w:rsidRDefault="00113799">
            <w:pPr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</w:p>
        </w:tc>
      </w:tr>
      <w:tr w:rsidR="00113799" w14:paraId="269B72FE" w14:textId="77777777">
        <w:tc>
          <w:tcPr>
            <w:tcW w:w="29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D1C2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ПФ-1-5-018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F1BE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обавезан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DFEF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Latn-CS"/>
              </w:rPr>
              <w:t>V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D2D3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7</w:t>
            </w:r>
          </w:p>
        </w:tc>
        <w:tc>
          <w:tcPr>
            <w:tcW w:w="480" w:type="dxa"/>
            <w:vAlign w:val="center"/>
            <w:hideMark/>
          </w:tcPr>
          <w:p w14:paraId="0D4EE45D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0A4CAD5E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973E62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Наставник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113B7" w14:textId="7A994263" w:rsidR="00113799" w:rsidRPr="007572F2" w:rsidRDefault="00113799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</w:pPr>
            <w:r w:rsidRP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Проф. др Младенка Говедарица,</w:t>
            </w:r>
            <w:r w:rsidR="0041110F" w:rsidRP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 редовни</w:t>
            </w:r>
            <w:r w:rsidRP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 xml:space="preserve"> професор</w:t>
            </w:r>
          </w:p>
        </w:tc>
        <w:tc>
          <w:tcPr>
            <w:tcW w:w="480" w:type="dxa"/>
            <w:vAlign w:val="center"/>
            <w:hideMark/>
          </w:tcPr>
          <w:p w14:paraId="409E0C5A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090D2317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A3AC5E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Сарадник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54FC" w14:textId="77777777" w:rsidR="00113799" w:rsidRPr="007572F2" w:rsidRDefault="00113799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</w:pPr>
            <w:r w:rsidRPr="007572F2">
              <w:rPr>
                <w:rFonts w:ascii="Arial Narrow" w:hAnsi="Arial Narrow"/>
                <w:b/>
                <w:bCs/>
                <w:sz w:val="20"/>
                <w:szCs w:val="20"/>
                <w:lang w:val="sr-Cyrl-BA"/>
              </w:rPr>
              <w:t>Љубана Сладић, ма</w:t>
            </w:r>
          </w:p>
        </w:tc>
        <w:tc>
          <w:tcPr>
            <w:tcW w:w="480" w:type="dxa"/>
            <w:vAlign w:val="center"/>
            <w:hideMark/>
          </w:tcPr>
          <w:p w14:paraId="24812249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28F7BCC5" w14:textId="77777777">
        <w:tc>
          <w:tcPr>
            <w:tcW w:w="3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07D14B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Фонд часова/ наставно оптерећење (седмично)</w:t>
            </w:r>
          </w:p>
        </w:tc>
        <w:tc>
          <w:tcPr>
            <w:tcW w:w="38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F4FCF8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Индивидуално оптерећење студента (у сатима семестрално)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997DF3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 xml:space="preserve">Коефицијент студентског оптерећења </w:t>
            </w:r>
            <w:r>
              <w:rPr>
                <w:rFonts w:ascii="Arial Narrow" w:hAnsi="Arial Narrow"/>
                <w:b/>
                <w:sz w:val="20"/>
                <w:szCs w:val="20"/>
                <w:lang w:val="sr-Latn-BA"/>
              </w:rPr>
              <w:t>S</w:t>
            </w:r>
            <w:r>
              <w:rPr>
                <w:rFonts w:ascii="Arial Narrow" w:hAnsi="Arial Narrow"/>
                <w:b/>
                <w:sz w:val="20"/>
                <w:szCs w:val="20"/>
                <w:vertAlign w:val="subscript"/>
                <w:lang w:val="sr-Latn-BA"/>
              </w:rPr>
              <w:t>o</w:t>
            </w:r>
            <w:r>
              <w:rPr>
                <w:rFonts w:ascii="Arial Narrow" w:hAnsi="Arial Narrow"/>
                <w:b/>
                <w:sz w:val="20"/>
                <w:szCs w:val="20"/>
                <w:vertAlign w:val="superscript"/>
                <w:lang w:val="sr-Latn-BA"/>
              </w:rPr>
              <w:footnoteReference w:id="1"/>
            </w:r>
          </w:p>
        </w:tc>
        <w:tc>
          <w:tcPr>
            <w:tcW w:w="480" w:type="dxa"/>
            <w:vAlign w:val="center"/>
            <w:hideMark/>
          </w:tcPr>
          <w:p w14:paraId="3681B489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33D231C0" w14:textId="7777777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311929B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4321143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АВ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CCFFB8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ЛВ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67B2184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CC19F77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АВ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0F8241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ЛВ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04D246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Latn-BA"/>
              </w:rPr>
              <w:t>S</w:t>
            </w:r>
            <w:r>
              <w:rPr>
                <w:rFonts w:ascii="Arial Narrow" w:hAnsi="Arial Narrow"/>
                <w:b/>
                <w:sz w:val="20"/>
                <w:szCs w:val="20"/>
                <w:vertAlign w:val="subscript"/>
                <w:lang w:val="sr-Latn-BA"/>
              </w:rPr>
              <w:t>o</w:t>
            </w:r>
          </w:p>
        </w:tc>
        <w:tc>
          <w:tcPr>
            <w:tcW w:w="480" w:type="dxa"/>
            <w:vAlign w:val="center"/>
            <w:hideMark/>
          </w:tcPr>
          <w:p w14:paraId="1D03BF64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345B878A" w14:textId="7777777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6519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3B77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ED5D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FE46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3*15*1,7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9612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2*15*1,7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3E27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0*15*1,7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43B2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1,7</w:t>
            </w:r>
          </w:p>
        </w:tc>
        <w:tc>
          <w:tcPr>
            <w:tcW w:w="480" w:type="dxa"/>
            <w:vAlign w:val="center"/>
            <w:hideMark/>
          </w:tcPr>
          <w:p w14:paraId="0E88E23A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42D7E8A8" w14:textId="77777777">
        <w:tc>
          <w:tcPr>
            <w:tcW w:w="46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8303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укупно наставно оптерећење (у сатима, семестрално) </w:t>
            </w:r>
          </w:p>
          <w:p w14:paraId="558DE7AD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45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+ </w:t>
            </w:r>
            <w:r>
              <w:rPr>
                <w:rFonts w:ascii="Arial Narrow" w:hAnsi="Arial Narrow"/>
                <w:sz w:val="20"/>
                <w:szCs w:val="20"/>
                <w:lang w:val="sr-Cyrl-CS"/>
              </w:rPr>
              <w:t>30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+ 0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=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CS"/>
              </w:rPr>
              <w:t>75h</w:t>
            </w:r>
          </w:p>
        </w:tc>
        <w:tc>
          <w:tcPr>
            <w:tcW w:w="49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ACAB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укупно студентско оптерећење (у сатима, семестрално) </w:t>
            </w:r>
          </w:p>
          <w:p w14:paraId="01D5E747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3*15*1,7 + 2*15*1,7+0*15*1,7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= 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>T</w:t>
            </w:r>
          </w:p>
          <w:p w14:paraId="06164964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Latn-CS"/>
              </w:rPr>
            </w:pPr>
            <w:r>
              <w:rPr>
                <w:rFonts w:ascii="Arial Narrow" w:hAnsi="Arial Narrow"/>
                <w:sz w:val="20"/>
                <w:szCs w:val="20"/>
                <w:lang w:val="sr-Latn-BA"/>
              </w:rPr>
              <w:t>76,5+ 51+ 0 =127,5h</w:t>
            </w:r>
          </w:p>
        </w:tc>
        <w:tc>
          <w:tcPr>
            <w:tcW w:w="480" w:type="dxa"/>
            <w:vAlign w:val="center"/>
            <w:hideMark/>
          </w:tcPr>
          <w:p w14:paraId="200A3675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785FB063" w14:textId="77777777">
        <w:tc>
          <w:tcPr>
            <w:tcW w:w="96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4E88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Укупно оптерећење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предмета (наставно + студентско): 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>75h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+ </w:t>
            </w:r>
            <w:r>
              <w:rPr>
                <w:rFonts w:ascii="Arial Narrow" w:hAnsi="Arial Narrow"/>
                <w:sz w:val="20"/>
                <w:szCs w:val="20"/>
                <w:lang w:val="sr-Latn-CS"/>
              </w:rPr>
              <w:t>127,5h = 202,5h =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Latn-BA"/>
              </w:rPr>
              <w:t>U</w:t>
            </w:r>
            <w:r>
              <w:rPr>
                <w:rFonts w:ascii="Arial Narrow" w:hAnsi="Arial Narrow"/>
                <w:sz w:val="20"/>
                <w:szCs w:val="20"/>
                <w:vertAlign w:val="subscript"/>
                <w:lang w:val="sr-Latn-BA"/>
              </w:rPr>
              <w:t>opt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сати семестрално</w:t>
            </w:r>
          </w:p>
        </w:tc>
        <w:tc>
          <w:tcPr>
            <w:tcW w:w="480" w:type="dxa"/>
            <w:vAlign w:val="center"/>
            <w:hideMark/>
          </w:tcPr>
          <w:p w14:paraId="16A2A34E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634669E5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FEC9FE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Исходи учења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CADA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1. стиче општа теоријска знања </w:t>
            </w:r>
          </w:p>
          <w:p w14:paraId="704DBBCC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2. стиче практична знања и вјештине</w:t>
            </w:r>
          </w:p>
          <w:p w14:paraId="712A808F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3. стиче способност анализе правних проблема ове области</w:t>
            </w:r>
          </w:p>
          <w:p w14:paraId="0692ED1B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4. стичу способност континуираног праћења и примјене домаћих правних прописа из ове области права</w:t>
            </w:r>
          </w:p>
        </w:tc>
        <w:tc>
          <w:tcPr>
            <w:tcW w:w="480" w:type="dxa"/>
            <w:vAlign w:val="center"/>
            <w:hideMark/>
          </w:tcPr>
          <w:p w14:paraId="4D9EE1BA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0D32BACD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59616B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Latn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Условљеност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F693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Претходно положени предмети Кривично право</w:t>
            </w:r>
            <w:r>
              <w:rPr>
                <w:rFonts w:ascii="Arial Narrow" w:hAnsi="Arial Narrow"/>
                <w:sz w:val="20"/>
                <w:szCs w:val="20"/>
                <w:lang w:val="sr-Latn-CS"/>
              </w:rPr>
              <w:t xml:space="preserve"> I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и Кривично право </w:t>
            </w:r>
            <w:r>
              <w:rPr>
                <w:rFonts w:ascii="Arial Narrow" w:hAnsi="Arial Narrow"/>
                <w:sz w:val="20"/>
                <w:szCs w:val="20"/>
                <w:lang w:val="sr-Latn-CS"/>
              </w:rPr>
              <w:t>II</w:t>
            </w:r>
          </w:p>
        </w:tc>
        <w:tc>
          <w:tcPr>
            <w:tcW w:w="480" w:type="dxa"/>
            <w:vAlign w:val="center"/>
            <w:hideMark/>
          </w:tcPr>
          <w:p w14:paraId="30D241CA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4E30ABF6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350AD5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Наставне методе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8EB6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Предавање, вјежбе,теренска настава, практични рад</w:t>
            </w:r>
          </w:p>
        </w:tc>
        <w:tc>
          <w:tcPr>
            <w:tcW w:w="480" w:type="dxa"/>
            <w:vAlign w:val="center"/>
            <w:hideMark/>
          </w:tcPr>
          <w:p w14:paraId="4B887D03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592420A9" w14:textId="77777777"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41EE55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Садржај предмета по седмицама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11748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Појам и предмет кривичног поступка и кривичног процесног права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Појам кривичног поступка (реалистички појам кривичног поступка, правни појам кривичног поступка, карактеристике кривичног поступка,основне процесне претпоставке, форме кривичног поступка, обим кривичног процесног односа)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Циљеви и оправдање кривичног поступка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Појам, предмет и диоба кривичног процесног права (појам кривичног процесног права, предмет кривичног процесног права, диоба кривичног процесног права)</w:t>
            </w:r>
          </w:p>
          <w:p w14:paraId="4FC70E48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2</w:t>
            </w:r>
            <w:r w:rsidRPr="0041110F">
              <w:rPr>
                <w:rFonts w:ascii="Arial Narrow" w:hAnsi="Arial Narrow"/>
                <w:b/>
                <w:sz w:val="20"/>
                <w:szCs w:val="20"/>
                <w:u w:val="single"/>
                <w:lang w:val="sr-Cyrl-BA"/>
              </w:rPr>
              <w:t>.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 xml:space="preserve"> Извори кривичног процесног права</w:t>
            </w:r>
          </w:p>
          <w:p w14:paraId="227BB3EE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Извори кривичног процесног права уопште (настанак кривичног процесног права,извори јављања кривичног процесног права)</w:t>
            </w:r>
          </w:p>
          <w:p w14:paraId="7EB267C8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Конкретни извори кривичног процесног права Босне и Херцеговине</w:t>
            </w:r>
          </w:p>
          <w:p w14:paraId="1D4457F3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Историја кривичног процесног права Босне и Херцеговине</w:t>
            </w:r>
          </w:p>
          <w:p w14:paraId="61EEB528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Кривично процесно право од 1918. године и у Краљевини Југославији</w:t>
            </w:r>
          </w:p>
          <w:p w14:paraId="1DA89BFF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Кривично процесно право Социјалистичке Југославије</w:t>
            </w:r>
          </w:p>
          <w:p w14:paraId="68753EA8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Кривично процесно право Босне и Херцеговине</w:t>
            </w:r>
          </w:p>
          <w:p w14:paraId="74F195A2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3.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Важење кривичног процесног права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ab/>
            </w:r>
          </w:p>
          <w:p w14:paraId="7306698D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Временско важење кривичног процесног права</w:t>
            </w:r>
          </w:p>
          <w:p w14:paraId="580C303F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Просторно важење кривичног процесног права</w:t>
            </w:r>
          </w:p>
          <w:p w14:paraId="66A3BB9F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lastRenderedPageBreak/>
              <w:t>Важење кривичног процесног права у погледу лица</w:t>
            </w:r>
          </w:p>
          <w:p w14:paraId="3261C1B1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Важење кривичног процесног права у погледу предмета</w:t>
            </w:r>
          </w:p>
          <w:p w14:paraId="6B507199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Однос кривичног процесног права према осталим гранама права </w:t>
            </w:r>
          </w:p>
          <w:p w14:paraId="0822F3AB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Тумачење кривичног процесног права</w:t>
            </w:r>
          </w:p>
          <w:p w14:paraId="3FEAAEFA" w14:textId="77777777" w:rsidR="00113799" w:rsidRPr="0041110F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4.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Субјекти кривичног поступка</w:t>
            </w:r>
          </w:p>
          <w:p w14:paraId="29478E14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Општа излагања о процесним субјектима</w:t>
            </w:r>
          </w:p>
          <w:p w14:paraId="39226644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Појам и врсте процесних субјеката (појам процесних субјеката, врсте процесних субјеката)</w:t>
            </w:r>
          </w:p>
          <w:p w14:paraId="77B9FFBD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Међусобни односи процесних субјеката</w:t>
            </w:r>
          </w:p>
          <w:p w14:paraId="3594E8FA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Основна процесна начела о процесним субјектима (оптужно или акузаторско начело, истражно или инквизиторско начело и мјешовито начело)</w:t>
            </w:r>
          </w:p>
          <w:p w14:paraId="2CBA8747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5.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Појам и врсте кривичних судова (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појам кривичног суда, врсте кривичних судова уопште, врсте кривичних судова у Босни и Херцеговини)</w:t>
            </w:r>
          </w:p>
          <w:p w14:paraId="0AE47B13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Независност суда и судија</w:t>
            </w:r>
          </w:p>
          <w:p w14:paraId="7A5237EE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Унутрашње уређење судова (бројни састав суда, учешће грађана у вршењу кривичног правосуђа, субјективна способност судије -именовање судија, изборни поступак, одговорност судије, конкретна способност судије - појам и врсте изузећа, основи изузећа, поступак изузећа, друга изузећа).</w:t>
            </w:r>
          </w:p>
          <w:p w14:paraId="3F388FDC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6.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Спољашње уређење судова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(судске надлежности у кривичним стварима, редовне надлежности – стварна надлежност, мјесна надлежност, функционална надлежност, ванредне надлежности – надлежност по међусобној вези кривичних дјела, пренесена надлежност, наређена надлежност, значај, оцјена и сукоб надлежн</w:t>
            </w:r>
            <w:r>
              <w:rPr>
                <w:rFonts w:ascii="Arial" w:hAnsi="Arial" w:cs="Arial"/>
                <w:sz w:val="18"/>
                <w:szCs w:val="18"/>
                <w:lang w:val="sr-Cyrl-BA"/>
              </w:rPr>
              <w:t>сти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 xml:space="preserve"> – значај појединих врста надлежности, оцјена надлежности, сукоб надлежности</w:t>
            </w:r>
            <w:r>
              <w:rPr>
                <w:rFonts w:ascii="Arial" w:hAnsi="Arial" w:cs="Arial"/>
                <w:sz w:val="18"/>
                <w:szCs w:val="18"/>
                <w:lang w:val="sr-Cyrl-BA"/>
              </w:rPr>
              <w:t>)</w:t>
            </w:r>
          </w:p>
          <w:p w14:paraId="77F3C20F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Правна помоћ</w:t>
            </w:r>
          </w:p>
          <w:p w14:paraId="5D68C32A" w14:textId="77777777" w:rsidR="00113799" w:rsidRPr="0041110F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7.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Странке у кривичном поступку</w:t>
            </w:r>
          </w:p>
          <w:p w14:paraId="17141D11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Страначка способност</w:t>
            </w:r>
          </w:p>
          <w:p w14:paraId="79ABE3D9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Процесна способност</w:t>
            </w:r>
          </w:p>
          <w:p w14:paraId="5250F165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Процесна начела о странкама (начело контрадикторности, начело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  <w:t>ne bis in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  <w:t>idem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) Тужилац и кривична тужба</w:t>
            </w:r>
            <w:r>
              <w:rPr>
                <w:rFonts w:ascii="Arial" w:hAnsi="Arial" w:cs="Arial"/>
                <w:sz w:val="18"/>
                <w:szCs w:val="18"/>
                <w:lang w:val="sr-Cyrl-B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(појам кривичне тужбе,</w:t>
            </w:r>
            <w:r>
              <w:rPr>
                <w:rFonts w:ascii="Arial" w:hAnsi="Arial" w:cs="Arial"/>
                <w:sz w:val="18"/>
                <w:szCs w:val="18"/>
                <w:lang w:val="sr-Cyrl-B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организовање кривичне тужбе, основна</w:t>
            </w:r>
            <w:r>
              <w:rPr>
                <w:rFonts w:ascii="Arial" w:hAnsi="Arial" w:cs="Arial"/>
                <w:sz w:val="18"/>
                <w:szCs w:val="18"/>
                <w:lang w:val="sr-Cyrl-B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процес</w:t>
            </w:r>
            <w:r>
              <w:rPr>
                <w:rFonts w:ascii="Arial" w:hAnsi="Arial" w:cs="Arial"/>
                <w:sz w:val="18"/>
                <w:szCs w:val="18"/>
                <w:lang w:val="sr-Cyrl-BA"/>
              </w:rPr>
              <w:t xml:space="preserve">на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начела која се односе на кривичну тужбу – начело официјелности, начело легалитета, начело мутабилитета</w:t>
            </w:r>
          </w:p>
          <w:p w14:paraId="06498962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Тужилац (појам функције и правна природа, права и дужности тужиоца, организација тужилаштава у БиХ, интерна и екстерна организација тужилаштва)</w:t>
            </w:r>
          </w:p>
          <w:p w14:paraId="4E283856" w14:textId="77777777" w:rsidR="00113799" w:rsidRPr="0041110F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8.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Осумњичени, односно оптужени и његова одбрана</w:t>
            </w:r>
          </w:p>
          <w:p w14:paraId="78061CDF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Појам осумњиченог, односно оптуженог, лица која могу имати својство осумњиченог, односно оптуженог, осумњичени односно оптужени као субјект кривичног поступка, упознавање личности осумњиченог, односно оптуженог, права и дужности осумњиченог, односно оптуженог, право на правично суђење</w:t>
            </w:r>
          </w:p>
          <w:p w14:paraId="1D8E8ADA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Одбрана осумњиченог, односно оптуженог (материјална одбрана, формална одбрана – појам, врсте формалне одбране, организовање формалне одбране,права, дужности и одговорност браниоца) </w:t>
            </w:r>
          </w:p>
          <w:p w14:paraId="0071A025" w14:textId="77777777" w:rsidR="00113799" w:rsidRPr="0041110F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9.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Споредни процесни субјекти</w:t>
            </w:r>
          </w:p>
          <w:p w14:paraId="221961D7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Оштећени (појам оштећеног, права и дужности оштећеног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оштећени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као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свједок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оштећени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Закону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о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измјенама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допунама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Закона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о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кривичном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поступку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Републике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Српске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усвојеном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фебруару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2021.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године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14:paraId="42CB4A00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Правно или физичко лице</w:t>
            </w:r>
          </w:p>
          <w:p w14:paraId="0BE2BFA0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Орган старатељства</w:t>
            </w:r>
          </w:p>
          <w:p w14:paraId="14DE2236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Остали учесници у поступку</w:t>
            </w:r>
          </w:p>
          <w:p w14:paraId="28D3373A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Заступници процесних субјеката (законски заступници, процесни замјеници, пуномоћници)</w:t>
            </w:r>
          </w:p>
          <w:p w14:paraId="49FA7C18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Помоћници (помоћни органи) процесних субјеката (помоћници суда, помоћници процесних странака)</w:t>
            </w:r>
          </w:p>
          <w:p w14:paraId="29777E42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Трећа лица у кривичном поступку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ab/>
            </w:r>
          </w:p>
          <w:p w14:paraId="68338623" w14:textId="77777777" w:rsidR="00113799" w:rsidRPr="0041110F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10.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Предмет кривичног поступка</w:t>
            </w:r>
          </w:p>
          <w:p w14:paraId="1BADD697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Појам и врсте предмета кривичног поступка</w:t>
            </w:r>
          </w:p>
          <w:p w14:paraId="770E2B94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Конекситет предмета кривичног поступка</w:t>
            </w:r>
          </w:p>
          <w:p w14:paraId="75AACCF7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Хомогени конекситет (веза кривичних ствари међусобно)</w:t>
            </w:r>
          </w:p>
          <w:p w14:paraId="348617D7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Хетерогени конекситет (веза кривичног и некривичног предмета кривичног поступка) (имовинскоправни захтјев, прејудицијална питања, трошкови кривичног поступка)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ab/>
            </w:r>
          </w:p>
          <w:p w14:paraId="3A5F2640" w14:textId="77777777" w:rsidR="0041110F" w:rsidRDefault="0041110F" w:rsidP="0041110F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  <w:p w14:paraId="33E890BA" w14:textId="77777777" w:rsidR="0041110F" w:rsidRDefault="0041110F" w:rsidP="0041110F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  <w:p w14:paraId="688BCFB6" w14:textId="77777777" w:rsidR="0041110F" w:rsidRDefault="0041110F" w:rsidP="0041110F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  <w:p w14:paraId="174D738A" w14:textId="7C050B34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11.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Процесне радње</w:t>
            </w:r>
          </w:p>
          <w:p w14:paraId="11564635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Основна начела кривичног поступка која се односе на форму процесних радњи</w:t>
            </w:r>
          </w:p>
          <w:p w14:paraId="35D02743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Начело усмености и начело писмености</w:t>
            </w:r>
          </w:p>
          <w:p w14:paraId="0D7EFE2C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Начело јавности (појам, сврха и оправдање, начело јавности у претходном поступку, начело јавности у главном поступку)</w:t>
            </w:r>
          </w:p>
          <w:p w14:paraId="5BE9A6BD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Начело непосредности (појам и значај, процесне установе за спровођење начела непосредности)</w:t>
            </w:r>
          </w:p>
          <w:p w14:paraId="2DAE88D0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Начело процесне економије</w:t>
            </w:r>
          </w:p>
          <w:p w14:paraId="1BC35979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Начело лојалности и поштења учесника поступка и сузбијања злоупотребе њихових процесних права</w:t>
            </w:r>
          </w:p>
          <w:p w14:paraId="304C3C7E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12.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Форма, вријеме и садржина процесних радњи</w:t>
            </w:r>
          </w:p>
          <w:p w14:paraId="77B976D3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Форма процесних радњи(начин процесних радњи – употреба језика и писма у кривичном поступку, поднесци, записници, списи)</w:t>
            </w:r>
          </w:p>
          <w:p w14:paraId="211080AE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Мјесто процесних радњи </w:t>
            </w:r>
          </w:p>
          <w:p w14:paraId="112548CA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Вријеме процесних радњи (рокови, повраћај у пређашње стање)</w:t>
            </w:r>
          </w:p>
          <w:p w14:paraId="5E661BFD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Садржина процесних радњи</w:t>
            </w:r>
          </w:p>
          <w:p w14:paraId="0E4C9201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Неправилне процесне радње (појам, превентивне мјере и мјере за обезбјеђење вјеродостојности процесних радњи – заклетва, свједоци присутни процесним радњама, препознавање лица и ствари, суочење, реконструкција догађаја)</w:t>
            </w:r>
          </w:p>
          <w:p w14:paraId="2A89E2B7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Мјере за олакшавање поштовања процесних норми</w:t>
            </w:r>
          </w:p>
          <w:p w14:paraId="06CB62B9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sr-Cyrl-CS"/>
              </w:rPr>
              <w:t>Мјере у погледу неправилних процесних радњи (поправљање неправилних процесних радњи, санкције за неправилне процесне радње)</w:t>
            </w:r>
          </w:p>
          <w:p w14:paraId="4396F753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13.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Врсте процесних радњи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Процесне радње доказивања (докази и доказивање уопште, предмет доказивања, чињенице које се у поступку доказују, чињенице које се у поступку не доказују, доказна средства, појам и начин одређивања доказних средстава, недозвољена доказна средства, поступак са доказима – наступање доказа, извођење доказа, оцјена доказа, процесна начела која се односе на радње доказивања – законска оцјена доказа и оцјена доказа по слободном увјерењу, начело истине, начело</w:t>
            </w:r>
            <w:r>
              <w:rPr>
                <w:rFonts w:ascii="Arial" w:hAnsi="Arial" w:cs="Arial"/>
                <w:sz w:val="18"/>
                <w:szCs w:val="18"/>
                <w:lang w:val="sr-Latn-CS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  <w:lang w:val="sr-Latn-CS"/>
              </w:rPr>
              <w:t>in dubio pro reo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>радње доказивања – претресање стана, просторија и лица, привремено одузимање предмета и имовине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, испитивање осумњиченог, саслушање свједока, исказ вјештака, увиђај и реконструкција, исправе, индиције</w:t>
            </w:r>
          </w:p>
          <w:p w14:paraId="119AF3C3" w14:textId="77777777" w:rsidR="00113799" w:rsidRDefault="00113799" w:rsidP="0041110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Cyrl-C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14.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Посебне истражне радње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(појам, услови за примјену, врсте, трајање, чување приједлога тужиоца и наредбе судије за претходни поступак, извјештај о посебним истражним радњама, забрана коришћења доказно забрањених података)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8633B2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Радње процесне принуде (о радњама процесне принуде уопште и претпоставкама за њихову примјену, врсте принудних процесних радњи – мјере за обезбјеђење присуства осумњиченог, односно оптуженог и успјешно вођење кривичног поступка, позивање, довођење, мјере забране, јемство, притвор).</w:t>
            </w:r>
          </w:p>
          <w:p w14:paraId="3779DB74" w14:textId="77777777" w:rsidR="00113799" w:rsidRDefault="00113799" w:rsidP="0041110F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15.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41110F">
              <w:rPr>
                <w:rFonts w:ascii="Arial" w:hAnsi="Arial" w:cs="Arial"/>
                <w:sz w:val="18"/>
                <w:szCs w:val="18"/>
                <w:u w:val="single"/>
                <w:lang w:val="ru-RU"/>
              </w:rPr>
              <w:t>Радње одлучивања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(радње одлучивања и судске одлуке уопште, о пресудама посебно, врсте пресуда,</w:t>
            </w:r>
            <w:r>
              <w:rPr>
                <w:rFonts w:ascii="Arial" w:hAnsi="Arial" w:cs="Arial"/>
                <w:sz w:val="18"/>
                <w:szCs w:val="18"/>
                <w:lang w:val="sr-Cyrl-B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r-Cyrl-CS"/>
              </w:rPr>
              <w:t xml:space="preserve">однос пресуде и оптужбе,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недостаци у пресуди и њихово отклањање, остале процесне радње суда – радње руковођења поступком, радње одржавања реда и процесне дисциплине, радње сузбијања неуредног вршења процесних дужности, процесне радње достављања)</w:t>
            </w:r>
          </w:p>
        </w:tc>
        <w:tc>
          <w:tcPr>
            <w:tcW w:w="480" w:type="dxa"/>
            <w:vAlign w:val="center"/>
            <w:hideMark/>
          </w:tcPr>
          <w:p w14:paraId="58E4B5ED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57B88AF3" w14:textId="77777777">
        <w:tc>
          <w:tcPr>
            <w:tcW w:w="96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05CBE2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lastRenderedPageBreak/>
              <w:t xml:space="preserve">Обавезна литература </w:t>
            </w:r>
          </w:p>
        </w:tc>
        <w:tc>
          <w:tcPr>
            <w:tcW w:w="480" w:type="dxa"/>
            <w:vAlign w:val="center"/>
            <w:hideMark/>
          </w:tcPr>
          <w:p w14:paraId="2B6B8ACC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582F4EF2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B77A1F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Аутор/ и</w:t>
            </w: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D4DC0A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Назив публикације, издавач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0A513D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Година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DB5052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Странице (од-до)</w:t>
            </w:r>
          </w:p>
        </w:tc>
        <w:tc>
          <w:tcPr>
            <w:tcW w:w="480" w:type="dxa"/>
            <w:vAlign w:val="center"/>
            <w:hideMark/>
          </w:tcPr>
          <w:p w14:paraId="79A55EB5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68DE29EE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8A3C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др Миодраг Симовић</w:t>
            </w:r>
          </w:p>
          <w:p w14:paraId="2567DDFD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др Владимир Симовић</w:t>
            </w:r>
          </w:p>
          <w:p w14:paraId="1CBC039C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др Младенка Говедарица</w:t>
            </w: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34332" w14:textId="36B1511D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Кривично процесно право увод и општи дио</w:t>
            </w:r>
            <w:r w:rsidR="0041110F">
              <w:rPr>
                <w:rFonts w:ascii="Arial Narrow" w:hAnsi="Arial Narrow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Правни факултет Универзитета у Бихаћу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5D8F6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2021.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142B0" w14:textId="0E6E11D9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           2</w:t>
            </w:r>
            <w:r w:rsidR="0041110F">
              <w:rPr>
                <w:rFonts w:ascii="Arial Narrow" w:hAnsi="Arial Narrow"/>
                <w:sz w:val="20"/>
                <w:szCs w:val="20"/>
                <w:lang w:val="sr-Cyrl-BA"/>
              </w:rPr>
              <w:t>1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-367</w:t>
            </w:r>
          </w:p>
        </w:tc>
        <w:tc>
          <w:tcPr>
            <w:tcW w:w="480" w:type="dxa"/>
            <w:vAlign w:val="center"/>
            <w:hideMark/>
          </w:tcPr>
          <w:p w14:paraId="0E583461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5A243D1D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2D05" w14:textId="77777777" w:rsidR="0041110F" w:rsidRDefault="0041110F" w:rsidP="0041110F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др Миодраг Симовић</w:t>
            </w:r>
          </w:p>
          <w:p w14:paraId="4A34F1E8" w14:textId="77777777" w:rsidR="0041110F" w:rsidRDefault="0041110F" w:rsidP="0041110F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др Владимир Симовић</w:t>
            </w:r>
          </w:p>
          <w:p w14:paraId="2DFB6E3F" w14:textId="6C3129FE" w:rsidR="00113799" w:rsidRDefault="0041110F" w:rsidP="0041110F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др Младенка Говедарица</w:t>
            </w: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381C" w14:textId="2D1F6F3F" w:rsidR="00113799" w:rsidRDefault="0041110F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Кривично процесно право увод и општи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дио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Правни факултет Универзитета у Бихаћу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601E" w14:textId="5470851B" w:rsidR="00113799" w:rsidRDefault="0041110F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2026.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1F7C" w14:textId="00C8BB19" w:rsidR="00113799" w:rsidRDefault="0041110F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           17- 387</w:t>
            </w:r>
          </w:p>
        </w:tc>
        <w:tc>
          <w:tcPr>
            <w:tcW w:w="480" w:type="dxa"/>
            <w:vAlign w:val="center"/>
            <w:hideMark/>
          </w:tcPr>
          <w:p w14:paraId="0F8AC7EB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30B93482" w14:textId="77777777">
        <w:tc>
          <w:tcPr>
            <w:tcW w:w="960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496AF6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Допунска литература</w:t>
            </w:r>
          </w:p>
        </w:tc>
        <w:tc>
          <w:tcPr>
            <w:tcW w:w="480" w:type="dxa"/>
            <w:vAlign w:val="center"/>
            <w:hideMark/>
          </w:tcPr>
          <w:p w14:paraId="0A9928A7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4C23D19E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202EA6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Аутор/ и</w:t>
            </w: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AA84D4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Назив публикације, издавач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B6696B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Година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F714C0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Странице (од-до)</w:t>
            </w:r>
          </w:p>
        </w:tc>
        <w:tc>
          <w:tcPr>
            <w:tcW w:w="480" w:type="dxa"/>
            <w:vAlign w:val="center"/>
            <w:hideMark/>
          </w:tcPr>
          <w:p w14:paraId="66E3CC5C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33620BA2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7F54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86B2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1196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86CD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6751421C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67F119F0" w14:textId="77777777">
        <w:tc>
          <w:tcPr>
            <w:tcW w:w="2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0910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8207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30DD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84D1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7A8553E9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0608D3EB" w14:textId="77777777">
        <w:trPr>
          <w:trHeight w:val="83"/>
        </w:trPr>
        <w:tc>
          <w:tcPr>
            <w:tcW w:w="16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7CF59D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 xml:space="preserve">Обавезе, облици </w:t>
            </w: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lastRenderedPageBreak/>
              <w:t>провјере знања и оцјењивање</w:t>
            </w: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E75150" w14:textId="77777777" w:rsidR="00113799" w:rsidRDefault="0011379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lastRenderedPageBreak/>
              <w:t>Врста евалуације рада студента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275CA0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Бодови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195BFD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Проценат</w:t>
            </w:r>
          </w:p>
        </w:tc>
        <w:tc>
          <w:tcPr>
            <w:tcW w:w="480" w:type="dxa"/>
            <w:vAlign w:val="center"/>
            <w:hideMark/>
          </w:tcPr>
          <w:p w14:paraId="6CEAC808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36330156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69F56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6C3A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Предиспитне обавезе</w:t>
            </w:r>
          </w:p>
        </w:tc>
        <w:tc>
          <w:tcPr>
            <w:tcW w:w="480" w:type="dxa"/>
            <w:vAlign w:val="center"/>
            <w:hideMark/>
          </w:tcPr>
          <w:p w14:paraId="7943B992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4B7B2948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71E47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620F" w14:textId="77777777" w:rsidR="00113799" w:rsidRDefault="00113799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присуство предавањима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BB23D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B15D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03AE2983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2EB6614F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8CD1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09B7" w14:textId="77777777" w:rsidR="00113799" w:rsidRDefault="00113799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присуство вјежбама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7883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1AEB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2C28A7B4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05929064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E107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88E67" w14:textId="77777777" w:rsidR="00113799" w:rsidRDefault="00113799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тест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DC7D" w14:textId="72851BFE" w:rsidR="00113799" w:rsidRDefault="0041110F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5D70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3DEB43BD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456B1151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00ED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7192" w14:textId="77777777" w:rsidR="00113799" w:rsidRDefault="00113799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колоквијум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AFFB" w14:textId="60C23922" w:rsidR="00113799" w:rsidRDefault="0041110F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DDAA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2446A66B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6E76294D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1DFA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D995" w14:textId="77777777" w:rsidR="00113799" w:rsidRDefault="00113799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семинарски рад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1A32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9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CDAD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2BB233B3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160B7A85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4F8E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D9AC" w14:textId="77777777" w:rsidR="00113799" w:rsidRDefault="00113799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6238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C3CD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30BE77ED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5D3F2AD2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F55D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E1B4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Завршни испит</w:t>
            </w:r>
          </w:p>
        </w:tc>
        <w:tc>
          <w:tcPr>
            <w:tcW w:w="480" w:type="dxa"/>
            <w:vAlign w:val="center"/>
            <w:hideMark/>
          </w:tcPr>
          <w:p w14:paraId="66AB85F6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1CA1ACC8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AF2D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38F9" w14:textId="77777777" w:rsidR="00113799" w:rsidRDefault="00113799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усмени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8A51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51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0172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</w:p>
        </w:tc>
        <w:tc>
          <w:tcPr>
            <w:tcW w:w="480" w:type="dxa"/>
            <w:vAlign w:val="center"/>
            <w:hideMark/>
          </w:tcPr>
          <w:p w14:paraId="2C5038D9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330E3DD1" w14:textId="77777777">
        <w:trPr>
          <w:trHeight w:val="6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473B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5C5A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УКУПНО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6D233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A3F3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100 %</w:t>
            </w:r>
          </w:p>
        </w:tc>
        <w:tc>
          <w:tcPr>
            <w:tcW w:w="480" w:type="dxa"/>
            <w:vAlign w:val="center"/>
            <w:hideMark/>
          </w:tcPr>
          <w:p w14:paraId="23208EAD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13799" w14:paraId="597E2E5C" w14:textId="77777777">
        <w:trPr>
          <w:trHeight w:val="27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6652E4" w14:textId="77777777" w:rsidR="00113799" w:rsidRDefault="00113799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sr-Cyrl-BA"/>
              </w:rPr>
              <w:t>Датум овјере</w:t>
            </w:r>
          </w:p>
        </w:tc>
        <w:tc>
          <w:tcPr>
            <w:tcW w:w="79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D81C" w14:textId="77777777" w:rsidR="00113799" w:rsidRDefault="00113799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(унијети задњи датум усвајања овог силабуса на сједници Вијећа)</w:t>
            </w:r>
          </w:p>
        </w:tc>
        <w:tc>
          <w:tcPr>
            <w:tcW w:w="480" w:type="dxa"/>
            <w:vAlign w:val="center"/>
            <w:hideMark/>
          </w:tcPr>
          <w:p w14:paraId="641D777F" w14:textId="77777777" w:rsidR="00113799" w:rsidRDefault="001137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</w:tbl>
    <w:p w14:paraId="58C5567D" w14:textId="77777777" w:rsidR="00113799" w:rsidRDefault="00113799" w:rsidP="00113799"/>
    <w:p w14:paraId="2593D5CC" w14:textId="77777777" w:rsidR="00113799" w:rsidRDefault="00113799" w:rsidP="00113799"/>
    <w:p w14:paraId="2060AAB7" w14:textId="77777777" w:rsidR="00483CFF" w:rsidRDefault="00483CFF"/>
    <w:sectPr w:rsidR="00483C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AD764" w14:textId="77777777" w:rsidR="00F65B70" w:rsidRDefault="00F65B70" w:rsidP="00113799">
      <w:pPr>
        <w:spacing w:after="0" w:line="240" w:lineRule="auto"/>
      </w:pPr>
      <w:r>
        <w:separator/>
      </w:r>
    </w:p>
  </w:endnote>
  <w:endnote w:type="continuationSeparator" w:id="0">
    <w:p w14:paraId="4D7A6FE8" w14:textId="77777777" w:rsidR="00F65B70" w:rsidRDefault="00F65B70" w:rsidP="00113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620EC" w14:textId="77777777" w:rsidR="00F65B70" w:rsidRDefault="00F65B70" w:rsidP="00113799">
      <w:pPr>
        <w:spacing w:after="0" w:line="240" w:lineRule="auto"/>
      </w:pPr>
      <w:r>
        <w:separator/>
      </w:r>
    </w:p>
  </w:footnote>
  <w:footnote w:type="continuationSeparator" w:id="0">
    <w:p w14:paraId="7620557E" w14:textId="77777777" w:rsidR="00F65B70" w:rsidRDefault="00F65B70" w:rsidP="00113799">
      <w:pPr>
        <w:spacing w:after="0" w:line="240" w:lineRule="auto"/>
      </w:pPr>
      <w:r>
        <w:continuationSeparator/>
      </w:r>
    </w:p>
  </w:footnote>
  <w:footnote w:id="1">
    <w:p w14:paraId="337DCB87" w14:textId="77777777" w:rsidR="00113799" w:rsidRDefault="00113799" w:rsidP="00113799">
      <w:pPr>
        <w:pStyle w:val="FootnoteText"/>
        <w:rPr>
          <w:rFonts w:ascii="Arial Narrow" w:hAnsi="Arial Narrow"/>
          <w:sz w:val="16"/>
          <w:szCs w:val="16"/>
        </w:rPr>
      </w:pPr>
      <w:r>
        <w:rPr>
          <w:rStyle w:val="FootnoteReference"/>
          <w:rFonts w:ascii="Calibri" w:hAnsi="Calibri"/>
        </w:rPr>
        <w:footnoteRef/>
      </w:r>
      <w:r>
        <w:t xml:space="preserve"> </w:t>
      </w:r>
      <w:r>
        <w:rPr>
          <w:rFonts w:ascii="Arial Narrow" w:hAnsi="Arial Narrow"/>
          <w:sz w:val="16"/>
          <w:szCs w:val="16"/>
          <w:lang w:val="sr-Cyrl-BA"/>
        </w:rPr>
        <w:t xml:space="preserve">Коефицијент студентског оптерећења </w:t>
      </w:r>
      <w:r>
        <w:rPr>
          <w:rFonts w:ascii="Arial Narrow" w:hAnsi="Arial Narrow"/>
          <w:sz w:val="16"/>
          <w:szCs w:val="16"/>
          <w:lang w:val="sr-Latn-BA"/>
        </w:rPr>
        <w:t>S</w:t>
      </w:r>
      <w:r>
        <w:rPr>
          <w:rFonts w:ascii="Arial Narrow" w:hAnsi="Arial Narrow"/>
          <w:sz w:val="16"/>
          <w:szCs w:val="16"/>
          <w:vertAlign w:val="subscript"/>
          <w:lang w:val="sr-Latn-BA"/>
        </w:rPr>
        <w:t xml:space="preserve">o </w:t>
      </w:r>
      <w:r>
        <w:rPr>
          <w:rFonts w:ascii="Arial Narrow" w:hAnsi="Arial Narrow"/>
          <w:sz w:val="16"/>
          <w:szCs w:val="16"/>
        </w:rPr>
        <w:t>се рачуна</w:t>
      </w:r>
      <w:r>
        <w:rPr>
          <w:rFonts w:ascii="Arial Narrow" w:hAnsi="Arial Narrow"/>
          <w:sz w:val="16"/>
          <w:szCs w:val="16"/>
          <w:lang w:val="sr-Cyrl-BA"/>
        </w:rPr>
        <w:t xml:space="preserve"> на сљедећи начин</w:t>
      </w:r>
      <w:r>
        <w:rPr>
          <w:rFonts w:ascii="Arial Narrow" w:hAnsi="Arial Narrow"/>
          <w:sz w:val="16"/>
          <w:szCs w:val="16"/>
        </w:rPr>
        <w:t>:</w:t>
      </w:r>
    </w:p>
    <w:p w14:paraId="7BF5BA67" w14:textId="77777777" w:rsidR="00113799" w:rsidRDefault="00113799" w:rsidP="00113799">
      <w:pPr>
        <w:pStyle w:val="FootnoteText"/>
        <w:rPr>
          <w:rFonts w:ascii="Arial Narrow" w:hAnsi="Arial Narrow"/>
          <w:sz w:val="16"/>
          <w:szCs w:val="16"/>
          <w:lang w:val="sr-Cyrl-BA"/>
        </w:rPr>
      </w:pPr>
      <w:r>
        <w:rPr>
          <w:rFonts w:ascii="Arial Narrow" w:hAnsi="Arial Narrow"/>
          <w:sz w:val="16"/>
          <w:szCs w:val="16"/>
        </w:rPr>
        <w:t xml:space="preserve">а) за студијске програме који </w:t>
      </w:r>
      <w:r>
        <w:rPr>
          <w:rFonts w:ascii="Arial Narrow" w:hAnsi="Arial Narrow"/>
          <w:sz w:val="16"/>
          <w:szCs w:val="16"/>
          <w:lang w:val="sr-Cyrl-BA"/>
        </w:rPr>
        <w:t xml:space="preserve">не </w:t>
      </w:r>
      <w:r>
        <w:rPr>
          <w:rFonts w:ascii="Arial Narrow" w:hAnsi="Arial Narrow"/>
          <w:sz w:val="16"/>
          <w:szCs w:val="16"/>
        </w:rPr>
        <w:t xml:space="preserve">иду на лиценцирање: </w:t>
      </w:r>
      <w:r>
        <w:rPr>
          <w:rFonts w:ascii="Arial Narrow" w:hAnsi="Arial Narrow"/>
          <w:sz w:val="16"/>
          <w:szCs w:val="16"/>
          <w:lang w:val="sr-Latn-BA"/>
        </w:rPr>
        <w:t>S</w:t>
      </w:r>
      <w:r>
        <w:rPr>
          <w:rFonts w:ascii="Arial Narrow" w:hAnsi="Arial Narrow"/>
          <w:sz w:val="16"/>
          <w:szCs w:val="16"/>
          <w:vertAlign w:val="subscript"/>
          <w:lang w:val="sr-Latn-BA"/>
        </w:rPr>
        <w:t>o</w:t>
      </w:r>
      <w:r>
        <w:rPr>
          <w:rFonts w:ascii="Arial Narrow" w:hAnsi="Arial Narrow"/>
          <w:sz w:val="16"/>
          <w:szCs w:val="16"/>
          <w:lang w:val="sr-Cyrl-BA"/>
        </w:rPr>
        <w:t xml:space="preserve"> = (укупно оптерећење у семестру за све предмете 900 </w:t>
      </w:r>
      <w:r>
        <w:rPr>
          <w:rFonts w:ascii="Arial Narrow" w:hAnsi="Arial Narrow"/>
          <w:sz w:val="16"/>
          <w:szCs w:val="16"/>
          <w:lang w:val="sr-Latn-BA"/>
        </w:rPr>
        <w:t>h</w:t>
      </w:r>
      <w:r>
        <w:rPr>
          <w:rFonts w:ascii="Arial Narrow" w:hAnsi="Arial Narrow"/>
          <w:sz w:val="16"/>
          <w:szCs w:val="16"/>
          <w:lang w:val="sr-Cyrl-BA"/>
        </w:rPr>
        <w:t xml:space="preserve"> – укупно наставно оптерећење П+В у семестру за све предмете _____ </w:t>
      </w:r>
      <w:r>
        <w:rPr>
          <w:rFonts w:ascii="Arial Narrow" w:hAnsi="Arial Narrow"/>
          <w:sz w:val="16"/>
          <w:szCs w:val="16"/>
          <w:lang w:val="sr-Latn-BA"/>
        </w:rPr>
        <w:t>h</w:t>
      </w:r>
      <w:r>
        <w:rPr>
          <w:rFonts w:ascii="Arial Narrow" w:hAnsi="Arial Narrow"/>
          <w:sz w:val="16"/>
          <w:szCs w:val="16"/>
          <w:lang w:val="sr-Cyrl-BA"/>
        </w:rPr>
        <w:t xml:space="preserve">)/ укупно наставно оптерећење П+В у семестру за све предмете _____ </w:t>
      </w:r>
      <w:r>
        <w:rPr>
          <w:rFonts w:ascii="Arial Narrow" w:hAnsi="Arial Narrow"/>
          <w:sz w:val="16"/>
          <w:szCs w:val="16"/>
          <w:lang w:val="sr-Latn-BA"/>
        </w:rPr>
        <w:t>h</w:t>
      </w:r>
      <w:r>
        <w:rPr>
          <w:rFonts w:ascii="Arial Narrow" w:hAnsi="Arial Narrow"/>
          <w:sz w:val="16"/>
          <w:szCs w:val="16"/>
          <w:lang w:val="sr-Cyrl-BA"/>
        </w:rPr>
        <w:t xml:space="preserve"> = ____. Погледати садржај обрасца и објашњење.</w:t>
      </w:r>
    </w:p>
    <w:p w14:paraId="1CFD02BF" w14:textId="77777777" w:rsidR="00113799" w:rsidRDefault="00113799" w:rsidP="00113799">
      <w:pPr>
        <w:pStyle w:val="FootnoteText"/>
      </w:pPr>
      <w:r>
        <w:rPr>
          <w:rFonts w:ascii="Arial Narrow" w:hAnsi="Arial Narrow"/>
          <w:sz w:val="16"/>
          <w:szCs w:val="16"/>
          <w:lang w:val="sr-Cyrl-BA"/>
        </w:rPr>
        <w:t>б) за студијске програме који иду на лиценцирање потребно је користити садржај обрасца и објашњење.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799"/>
    <w:rsid w:val="00113799"/>
    <w:rsid w:val="0041110F"/>
    <w:rsid w:val="00483CFF"/>
    <w:rsid w:val="0056410D"/>
    <w:rsid w:val="007572F2"/>
    <w:rsid w:val="009F59D2"/>
    <w:rsid w:val="00C66356"/>
    <w:rsid w:val="00CF7A17"/>
    <w:rsid w:val="00F6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032FF"/>
  <w15:chartTrackingRefBased/>
  <w15:docId w15:val="{35F0C335-8CFE-4508-A408-E55E5702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799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bs-Latn-B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37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7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79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79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79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79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79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79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79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7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7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7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7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7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7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7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7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7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7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3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79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37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79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37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79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37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7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7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799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semiHidden/>
    <w:unhideWhenUsed/>
    <w:rsid w:val="001137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13799"/>
    <w:rPr>
      <w:rFonts w:ascii="Calibri" w:eastAsia="Times New Roman" w:hAnsi="Calibri" w:cs="Times New Roman"/>
      <w:kern w:val="0"/>
      <w:sz w:val="20"/>
      <w:szCs w:val="20"/>
      <w:lang w:val="bs-Latn-BA"/>
      <w14:ligatures w14:val="none"/>
    </w:rPr>
  </w:style>
  <w:style w:type="character" w:styleId="FootnoteReference">
    <w:name w:val="footnote reference"/>
    <w:semiHidden/>
    <w:unhideWhenUsed/>
    <w:rsid w:val="00113799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1361</Words>
  <Characters>7761</Characters>
  <Application>Microsoft Office Word</Application>
  <DocSecurity>0</DocSecurity>
  <Lines>64</Lines>
  <Paragraphs>18</Paragraphs>
  <ScaleCrop>false</ScaleCrop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2026-09-08T09:29:00Z</dcterms:created>
  <dcterms:modified xsi:type="dcterms:W3CDTF">2026-09-08T09:40:00Z</dcterms:modified>
</cp:coreProperties>
</file>