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C514BF" w:rsidRPr="003B7CF6" w:rsidTr="006C2CF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5C1164A" wp14:editId="4B80E1FC">
                  <wp:extent cx="7429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A6A56DE" wp14:editId="4C933FB7">
                  <wp:extent cx="753960" cy="723332"/>
                  <wp:effectExtent l="0" t="0" r="0" b="0"/>
                  <wp:docPr id="4" name="Picture 4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8" cy="7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4BF" w:rsidRPr="003B7CF6" w:rsidTr="006C2CF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i/>
                <w:sz w:val="20"/>
                <w:szCs w:val="20"/>
                <w:lang w:val="sr-Cyrl-BA"/>
              </w:rPr>
              <w:t>Студијски програм: Право</w:t>
            </w:r>
          </w:p>
        </w:tc>
        <w:tc>
          <w:tcPr>
            <w:tcW w:w="2286" w:type="dxa"/>
            <w:gridSpan w:val="3"/>
            <w:vMerge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 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IV година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c>
          <w:tcPr>
            <w:tcW w:w="2048" w:type="dxa"/>
            <w:gridSpan w:val="3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shd w:val="clear" w:color="auto" w:fill="auto"/>
            <w:vAlign w:val="center"/>
          </w:tcPr>
          <w:p w:rsidR="00C514BF" w:rsidRPr="005C24F5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sr-Cyrl-BA"/>
              </w:rPr>
            </w:pPr>
            <w:r w:rsidRPr="005C24F5">
              <w:rPr>
                <w:rFonts w:ascii="Arial Narrow" w:eastAsia="Calibri" w:hAnsi="Arial Narrow" w:cs="Times New Roman"/>
                <w:sz w:val="24"/>
                <w:szCs w:val="24"/>
                <w:lang w:val="sr-Cyrl-BA"/>
              </w:rPr>
              <w:t>ПРЕКРШАЈНО ПРАВО</w:t>
            </w:r>
          </w:p>
        </w:tc>
      </w:tr>
      <w:tr w:rsidR="00C514BF" w:rsidRPr="003B7CF6" w:rsidTr="006C2CF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5C24F5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Катедра за кривично право</w:t>
            </w:r>
            <w:r w:rsidR="00C514BF"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– Правни факултет Источно Сарајево - Пале</w:t>
            </w:r>
          </w:p>
        </w:tc>
      </w:tr>
      <w:tr w:rsidR="00C514BF" w:rsidRPr="003B7CF6" w:rsidTr="006C2CFB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C514BF" w:rsidRPr="003B7CF6" w:rsidTr="006C2CFB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C514BF" w:rsidRPr="003B7CF6" w:rsidTr="006C2CFB">
        <w:tc>
          <w:tcPr>
            <w:tcW w:w="2943" w:type="dxa"/>
            <w:gridSpan w:val="6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ПФ-1-8-037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обавезан 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VIII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 др Урош Пена, редов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ни професор</w:t>
            </w:r>
          </w:p>
        </w:tc>
      </w:tr>
      <w:tr w:rsidR="00C514BF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5C24F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 xml:space="preserve">Виши асистент Љубана </w:t>
            </w:r>
            <w:r w:rsidR="005C24F5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Сладић</w:t>
            </w:r>
            <w:bookmarkStart w:id="0" w:name="_GoBack"/>
            <w:bookmarkEnd w:id="0"/>
            <w:r w:rsidRPr="003B7CF6">
              <w:rPr>
                <w:rFonts w:ascii="Arial Narrow" w:eastAsia="Calibri" w:hAnsi="Arial Narrow" w:cs="Arial Narrow"/>
                <w:sz w:val="20"/>
                <w:szCs w:val="20"/>
                <w:lang w:val="sr-Cyrl-BA" w:eastAsia="zh-CN"/>
              </w:rPr>
              <w:t>, ма</w:t>
            </w:r>
          </w:p>
        </w:tc>
      </w:tr>
      <w:tr w:rsidR="00C514BF" w:rsidRPr="003B7CF6" w:rsidTr="006C2CF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C514BF" w:rsidRPr="003B7CF6" w:rsidTr="006C2CFB">
        <w:tc>
          <w:tcPr>
            <w:tcW w:w="1242" w:type="dxa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C514BF" w:rsidRPr="003B7CF6" w:rsidTr="006C2CFB">
        <w:tc>
          <w:tcPr>
            <w:tcW w:w="1242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2*15*1,6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1*15*1,6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0*15*1,6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1,6</w:t>
            </w:r>
          </w:p>
        </w:tc>
      </w:tr>
      <w:tr w:rsidR="00C514BF" w:rsidRPr="003B7CF6" w:rsidTr="006C2CF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30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15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 xml:space="preserve">+ 0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=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CS"/>
              </w:rPr>
              <w:t>45h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+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>0*15*1,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6 = 72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h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C514BF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 оптерећење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предмета (наставно + студентско): 45h+72h=117h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1. стиче општа теоријска знања 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2. стиче практична знања и вјештине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3. стиче способност анализе правних проблема ове области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4. стичу способност континуираног праћења и примјене домаћих правних прописа из ове области права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Положен испит из предмета Кривично процесно право – посебни дио</w:t>
            </w:r>
          </w:p>
        </w:tc>
      </w:tr>
      <w:tr w:rsidR="00C514BF" w:rsidRPr="003B7CF6" w:rsidTr="006C2CFB"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Предавања, вјежбе, вербалне и визуелне методе, теренска настава, практичан рад.</w:t>
            </w:r>
          </w:p>
        </w:tc>
      </w:tr>
      <w:tr w:rsidR="00C514BF" w:rsidRPr="003B7CF6" w:rsidTr="006C2CF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keepNext/>
              <w:keepLines/>
              <w:spacing w:before="200" w:after="0"/>
              <w:outlineLvl w:val="4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3B7CF6">
              <w:rPr>
                <w:rFonts w:ascii="Times New Roman" w:eastAsia="Times New Roman" w:hAnsi="Times New Roman" w:cs="Times New Roman"/>
                <w:b/>
                <w:color w:val="243F60"/>
                <w:sz w:val="20"/>
                <w:szCs w:val="20"/>
                <w:lang w:val="sr-Cyrl-BA"/>
              </w:rPr>
              <w:t>1</w:t>
            </w:r>
            <w:r w:rsidRPr="003B7CF6">
              <w:rPr>
                <w:rFonts w:ascii="Arial Narrow" w:eastAsia="Times New Roman" w:hAnsi="Arial Narrow" w:cs="Times New Roman"/>
                <w:color w:val="243F60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sr-Cyrl-BA"/>
              </w:rPr>
              <w:t>Пр</w:t>
            </w:r>
            <w:r w:rsidRPr="003B7CF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екршајно право у правном систему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Увод у предмет и информације за студенте; Историјски развој прекршаја Извори прекршајног права; Важење прекршајног права. Однос прекршајног права према другим наукама.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2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Материјално прекршајно право – општи дио; Прекрша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ј; Правна природа прекршаја; Обиљежја прекршаја; Објекат прекршаја; Субјект прекршаја; Вријеме и мјесто извршења прекршаја; Стицај прекршаја. Саучесништво у прекршају.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3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Прекршајна одговорност; Одговорност физичког лица за прекршај; Одговорност правних лица за прекршај.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4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 Прекршајне санкције; Казне; Казне затвора; Новчане казне; Мјере упозорења; Заштитне мјере; Нелегалне мјере; Казнени бодови.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5.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Малољетници у прекршајном поступку; Полицијско упозорење; Прекршајни поступак према малољетницима. Специфичности прекршајног поступка према малољетницима.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6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. Гашење прекршајног кажњавања; застарјелост покретања и вођење прекршајног поступка; Застарјелост извршења; Застарјелост извршења мјере одузимања имовинске користи и трошкова прекршајног поступка. Ток и прекид застарјелости.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7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Појам, предмет и задатак прекршајног процесног права; Прекршајни поступак; Начела 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прекршајног поступка; Прекршајно процесни субјекти; Спајање и раздвајање поступка; Изузеће.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sz w:val="20"/>
                <w:szCs w:val="20"/>
                <w:lang w:val="sr-Cyrl-BA"/>
              </w:rPr>
              <w:t>8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Поднесци и записници у прекршајном поступку; Достављање и разматрање списа; Рокови враћање у пређашње стање; Трошкови прекршајног поступка; Имовинскоправни захтјев.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9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 Докази и доказни пострупак; Поступак доказивања; Врсте доказних средстава; Испитивање окривљеног; Саслушање свједока; Увиђај; Вјештачење, претресање стана, просторија и лица; Привремено одузимање предмета.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Ток прекршајног поступка; Покретање прекршајног поступка; Прекршајни налог; Облик и садржај прекршајног налога.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11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.</w:t>
            </w: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hr-HR"/>
              </w:rPr>
              <w:t xml:space="preserve">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Захтјев за покретање прекршајног поступка; Мјере за обезбјеђење присуства окривљеног за вођење прекршајног поступка; Хитни прекршајни поступак; Мјере којима се обезбјеђује извршење одлука донесених у поступку.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12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. Обрада тока прекршајног поступка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; Рјешење о прекршају; Облик и садржај рјешења.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13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Материјално прекршајно право – посеб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ни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 дио;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против јавног реда и мира; Редовни правни лијек; Ванредни правни лијекови.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u-RU"/>
              </w:rPr>
              <w:t>14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личном имену;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личној карти држављана БиХ;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пребивалишту и боравишту држављана БиХ.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Прекршаји из Закона о матичним књигама;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Прекршаји из Закона о јединственом матичном броју; 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 xml:space="preserve">Прекршаји из Закона о путним исправама Босне и Херцеговине; 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кретању и боравку странаца и азилу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>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sr-Cyrl-BA"/>
              </w:rPr>
              <w:t>15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  <w:t xml:space="preserve">. 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П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рекршаји из Закона о оружју и муницији.</w:t>
            </w:r>
          </w:p>
          <w:p w:rsidR="00C514BF" w:rsidRPr="003B7CF6" w:rsidRDefault="00C514BF" w:rsidP="006C2CFB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Прекршаји из закона о забрани пушења дуванских производа на јавним мјестима, Закона о забрани продаје и употребе дуванских производа лицима млађим од 18 година и закона о забрани рекламирања дуванских производа;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hr-HR"/>
              </w:rPr>
              <w:t>С</w:t>
            </w:r>
            <w:r w:rsidRPr="003B7CF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t>аобраћајни прекршаји.</w:t>
            </w:r>
          </w:p>
        </w:tc>
      </w:tr>
      <w:tr w:rsidR="00C514BF" w:rsidRPr="003B7CF6" w:rsidTr="006C2CFB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Љ. Митровић</w:t>
            </w: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Љ.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C514BF" w:rsidRPr="003B7CF6" w:rsidRDefault="00C514BF" w:rsidP="006C2C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Прекршајно право, Паневропски универзитет, Апеирон, Бања Лука</w:t>
            </w:r>
          </w:p>
          <w:p w:rsidR="00C514BF" w:rsidRPr="003B7CF6" w:rsidRDefault="00C514BF" w:rsidP="006C2C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Times New Roman" w:hAnsi="Arial Narrow" w:cs="Times New Roman"/>
                <w:sz w:val="20"/>
                <w:szCs w:val="20"/>
                <w:lang w:val="sr-Cyrl-BA"/>
              </w:rPr>
              <w:t>Прекршајно право – посебни дио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2014</w:t>
            </w: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0 - 320</w:t>
            </w:r>
          </w:p>
        </w:tc>
      </w:tr>
      <w:tr w:rsidR="00C514BF" w:rsidRPr="003B7CF6" w:rsidTr="006C2CF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Проф.др Станко Бејатовић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ОСНОВИ ПРЕКРШАЈНОГ ПРАВА,Српско удружење за  кривичноправну теорију и праксу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11-237</w:t>
            </w:r>
          </w:p>
        </w:tc>
      </w:tr>
      <w:tr w:rsidR="00C514BF" w:rsidRPr="003B7CF6" w:rsidTr="006C2CFB">
        <w:tc>
          <w:tcPr>
            <w:tcW w:w="9606" w:type="dxa"/>
            <w:gridSpan w:val="17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Закон о прекшајима РС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,Закон о јавном реду и миру,Закон о основама безбједности саобраћаја на путрвима, Закон о оружју и муницији,Закон о јавним окупљањима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c>
          <w:tcPr>
            <w:tcW w:w="2512" w:type="dxa"/>
            <w:gridSpan w:val="4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Присуство вјежбама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Колоквиј 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15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Семинарски рад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  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 50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  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C514BF" w:rsidRPr="003B7CF6" w:rsidTr="006C2CFB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Web</w:t>
            </w: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C514BF" w:rsidRPr="003B7CF6" w:rsidTr="006C2CFB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</w:pPr>
            <w:r w:rsidRPr="003B7CF6">
              <w:rPr>
                <w:rFonts w:ascii="Arial Narrow" w:eastAsia="Calibri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C514BF" w:rsidRPr="003B7CF6" w:rsidRDefault="00C514BF" w:rsidP="006C2CFB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Pr="003B7CF6" w:rsidRDefault="00C514BF" w:rsidP="00C514BF">
      <w:pPr>
        <w:rPr>
          <w:rFonts w:ascii="Arial Narrow" w:eastAsia="Calibri" w:hAnsi="Arial Narrow" w:cs="Times New Roman"/>
          <w:sz w:val="18"/>
          <w:szCs w:val="20"/>
          <w:lang w:val="sr-Cyrl-BA"/>
        </w:rPr>
      </w:pPr>
    </w:p>
    <w:p w:rsidR="00C514BF" w:rsidRDefault="00C514BF" w:rsidP="00C514BF"/>
    <w:p w:rsidR="00EB023D" w:rsidRDefault="00D8062C"/>
    <w:sectPr w:rsidR="00EB02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2C" w:rsidRDefault="00D8062C" w:rsidP="00C514BF">
      <w:pPr>
        <w:spacing w:after="0" w:line="240" w:lineRule="auto"/>
      </w:pPr>
      <w:r>
        <w:separator/>
      </w:r>
    </w:p>
  </w:endnote>
  <w:endnote w:type="continuationSeparator" w:id="0">
    <w:p w:rsidR="00D8062C" w:rsidRDefault="00D8062C" w:rsidP="00C5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6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A01" w:rsidRDefault="00063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A01" w:rsidRDefault="00D80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2C" w:rsidRDefault="00D8062C" w:rsidP="00C514BF">
      <w:pPr>
        <w:spacing w:after="0" w:line="240" w:lineRule="auto"/>
      </w:pPr>
      <w:r>
        <w:separator/>
      </w:r>
    </w:p>
  </w:footnote>
  <w:footnote w:type="continuationSeparator" w:id="0">
    <w:p w:rsidR="00D8062C" w:rsidRDefault="00D8062C" w:rsidP="00C514BF">
      <w:pPr>
        <w:spacing w:after="0" w:line="240" w:lineRule="auto"/>
      </w:pPr>
      <w:r>
        <w:continuationSeparator/>
      </w:r>
    </w:p>
  </w:footnote>
  <w:footnote w:id="1">
    <w:p w:rsidR="00C514BF" w:rsidRPr="00ED59F8" w:rsidRDefault="00C514BF" w:rsidP="00C514B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:rsidR="00C514BF" w:rsidRPr="00BB3616" w:rsidRDefault="00C514BF" w:rsidP="00C514B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:rsidR="00C514BF" w:rsidRPr="00564658" w:rsidRDefault="00C514BF" w:rsidP="00C514B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BF"/>
    <w:rsid w:val="00063CC2"/>
    <w:rsid w:val="005C24F5"/>
    <w:rsid w:val="006A021C"/>
    <w:rsid w:val="009E7C6F"/>
    <w:rsid w:val="00C514BF"/>
    <w:rsid w:val="00D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14BF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4BF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514B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5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BF"/>
  </w:style>
  <w:style w:type="paragraph" w:styleId="BalloonText">
    <w:name w:val="Balloon Text"/>
    <w:basedOn w:val="Normal"/>
    <w:link w:val="BalloonTextChar"/>
    <w:uiPriority w:val="99"/>
    <w:semiHidden/>
    <w:unhideWhenUsed/>
    <w:rsid w:val="00C5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14BF"/>
    <w:pPr>
      <w:spacing w:after="0" w:line="240" w:lineRule="auto"/>
    </w:pPr>
    <w:rPr>
      <w:rFonts w:eastAsiaTheme="minorEastAsia"/>
      <w:sz w:val="20"/>
      <w:szCs w:val="20"/>
      <w:lang w:val="bs-Latn-BA" w:eastAsia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4BF"/>
    <w:rPr>
      <w:rFonts w:eastAsiaTheme="minorEastAsia"/>
      <w:sz w:val="20"/>
      <w:szCs w:val="20"/>
      <w:lang w:val="bs-Latn-BA" w:eastAsia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C514B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51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4BF"/>
  </w:style>
  <w:style w:type="paragraph" w:styleId="BalloonText">
    <w:name w:val="Balloon Text"/>
    <w:basedOn w:val="Normal"/>
    <w:link w:val="BalloonTextChar"/>
    <w:uiPriority w:val="99"/>
    <w:semiHidden/>
    <w:unhideWhenUsed/>
    <w:rsid w:val="00C5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2022-12-08T09:27:00Z</dcterms:created>
  <dcterms:modified xsi:type="dcterms:W3CDTF">2023-11-24T21:14:00Z</dcterms:modified>
</cp:coreProperties>
</file>