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520C7" w:rsidRPr="003B7CF6" w:rsidTr="006C2CF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D470CAB" wp14:editId="09BDEC5E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621895F" wp14:editId="5F9FD654">
                  <wp:extent cx="753960" cy="723332"/>
                  <wp:effectExtent l="0" t="0" r="0" b="0"/>
                  <wp:docPr id="2" name="Picture 2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0C7" w:rsidRPr="003B7CF6" w:rsidTr="006C2CF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III 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2048" w:type="dxa"/>
            <w:gridSpan w:val="3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3520C7" w:rsidRPr="00B2220F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sr-Cyrl-BA"/>
              </w:rPr>
            </w:pPr>
            <w:r w:rsidRPr="00B2220F">
              <w:rPr>
                <w:rFonts w:ascii="Arial Narrow" w:eastAsia="Calibri" w:hAnsi="Arial Narrow" w:cs="Times New Roman"/>
                <w:sz w:val="24"/>
                <w:szCs w:val="24"/>
                <w:lang w:val="sr-Cyrl-BA"/>
              </w:rPr>
              <w:t>КРИМИНАЛИСТИКА</w:t>
            </w:r>
          </w:p>
        </w:tc>
      </w:tr>
      <w:tr w:rsidR="003520C7" w:rsidRPr="003B7CF6" w:rsidTr="006C2CF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B2220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Катедра за кривично право</w:t>
            </w:r>
            <w:r w:rsidR="003520C7"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– Правни факултет Источно Сарајево - Пале</w:t>
            </w:r>
          </w:p>
        </w:tc>
      </w:tr>
      <w:tr w:rsidR="003520C7" w:rsidRPr="003B7CF6" w:rsidTr="006C2CFB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3520C7" w:rsidRPr="003B7CF6" w:rsidTr="006C2CFB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520C7" w:rsidRPr="003B7CF6" w:rsidTr="006C2CFB">
        <w:tc>
          <w:tcPr>
            <w:tcW w:w="2943" w:type="dxa"/>
            <w:gridSpan w:val="6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ПФ-1-5-020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редовни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професор</w:t>
            </w:r>
          </w:p>
        </w:tc>
      </w:tr>
      <w:tr w:rsidR="003520C7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B2220F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 xml:space="preserve">Виши асистент Љубана </w:t>
            </w:r>
            <w:r w:rsidR="00B2220F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Сладић</w:t>
            </w: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, ма</w:t>
            </w:r>
          </w:p>
        </w:tc>
      </w:tr>
      <w:tr w:rsidR="003520C7" w:rsidRPr="003B7CF6" w:rsidTr="006C2CF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520C7" w:rsidRPr="003B7CF6" w:rsidTr="006C2CFB">
        <w:tc>
          <w:tcPr>
            <w:tcW w:w="1242" w:type="dxa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520C7" w:rsidRPr="003B7CF6" w:rsidTr="006C2CFB">
        <w:tc>
          <w:tcPr>
            <w:tcW w:w="1242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3*15*1,5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1,5</w:t>
            </w:r>
          </w:p>
        </w:tc>
      </w:tr>
      <w:tr w:rsidR="003520C7" w:rsidRPr="003B7CF6" w:rsidTr="006C2CF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60h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3*15*1,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 =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T</w:t>
            </w: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67,5+22,5+0=90h</w:t>
            </w:r>
          </w:p>
        </w:tc>
      </w:tr>
      <w:tr w:rsidR="003520C7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60h+90h=150h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20C7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3520C7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Уводно предавање (појам криминалистике, историјски развој науке, садржај); Криминалистичка оперативна делатност (појам и врсте); Начини сазнања за кривична дјела;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 xml:space="preserve">Појам криминалистике, Криминалистичка оперативна дјелатност. 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Стратешко планирање криминалистичке делатности (појам, стратешка анализа, однос између стратешке и тактичке анализе, савремене методе стратешке анализе); Оперативно-тактичко планирање;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Технике сачињавања стратешког  плана.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Тактичко планирање криминалистичког рада (појам и врсте тактичког планирања, анализа чињеничног стања, „златна питања криминалистике“, планирање и проверавање криминалистичких верзија, савремене методе планирања); Рад полиције у заједници; 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Планирање криминалистичког рада, рад са верзијама, анализа примера из праксе.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Индиције (појам, значај, подела, основне методе рада са индицијама); Индицијалне методе при откривању и доказивању кривичних дјела.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Индиције (откривање, тумачење, анализа примера из праксе).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Најзначајније индиције које се појављују у криминалистичкој пракси и рад са њима; Карактер као индиција, мотиви кривичних дјела, воља као индиција;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Најчешће грешке приликом рада са индицијама.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6.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Криминалистичка тактика предузимања оперативно-тактичких мјера и радњи; Криминалистичка контрола; Криминалистичка обрада;  Легитимисање, полиграфско тестирање, алиби; Остале оперативно-тактичке мјере и радње;  Криминалистичко – обавјештајна дјелатност. </w:t>
            </w:r>
            <w:r w:rsidRPr="003B7CF6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Криминалистичка психологија у пракси; дозвољена и забрањена питања (практични аспекти).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7.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психологије; дозвољена и забрањена питања; Информативни разговор,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 xml:space="preserve">криминалистичке методе прибављања признања; Криминалистичка тактика предузимања радњи доказивања.;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Криминалистичке методе прибављања признања – практични аспекти.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8.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Говор тијела осумњиченог при саслушавању;  Саслушање осумњиченог.;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Практична проц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ј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ена говора т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ије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Latn-RS"/>
              </w:rPr>
              <w:t>ла осумњиченог при саслушавању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20C7" w:rsidRPr="003B7CF6" w:rsidRDefault="003520C7" w:rsidP="006C2CFB">
            <w:pPr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9.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Саслушавање сведока и осумњиченог (појам, фазе, методе; Саслушање појединих категорија свједока; Предочавање ради препознавања; Суочавање;  </w:t>
            </w:r>
            <w:r w:rsidRPr="003B7CF6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Практични аспекти саслушавања свједока и осумњиченог, методе откривања лажи.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10.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Препознавање, претресање; Планирање и припремање претресања; Привремено одузимање предмета.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откривање скровишта приликом претресања.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11.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Увиђај (обезбеђење лица места, појам увиђаја, фазе, записник о увиђају и прилози, откривање фингирања приликом вршења увиђаја); Фазе увиђаја; Документовање увиђаја.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Увиђај – практични аспекти.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12.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Реконструкција и експеримент; Основи криминалистичких вештачења; Посебне истражне радње.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Криминалистичка трасологија и криминалистичка вјештачења.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13.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Криминалистичке методе рада са траговима и вештачења трагова; Трагови стопала; Биолошки трагови; Трагови оруђа; Трагови папиларних линија; Трагови стакла; Трагови код саобраћајних незгода.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рада са траговима: Трагови папиларних линија/ балистички трагови.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14.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идентификације лица; Идентификација лица на основу гласа; Дактилоскопија; Идентификација на основу утврђивања ДНК профила.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Методе идентификације  по избору студената: Идентификација лица на основу ДНК;  Идентификација лица на основу рукописа.</w:t>
            </w: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520C7" w:rsidRPr="003B7CF6" w:rsidRDefault="003520C7" w:rsidP="006C2CFB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15.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Основи криминалистичке методике; Кривично дјело против живота и тијела; Имовински криминалитет; Економски криминалитет. Организовани криминалитет; Тероризам; Компјутерски криминалитет.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Презентације по избору студената: Компјутерски криминалитет; Организовани криминалитет;  Тероризам.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>Бранислав Симоновић, Урош Пена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3B7CF6" w:rsidRDefault="003520C7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lang w:val="sr-Cyrl-CS"/>
              </w:rPr>
              <w:t xml:space="preserve">Криминалистика, Правни факултет Источно Сарајево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      20 - 703</w:t>
            </w:r>
          </w:p>
        </w:tc>
      </w:tr>
      <w:tr w:rsidR="003520C7" w:rsidRPr="003B7CF6" w:rsidTr="006C2CF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c>
          <w:tcPr>
            <w:tcW w:w="9606" w:type="dxa"/>
            <w:gridSpan w:val="17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Урош Пена,Бранислав Павловић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0319E3" w:rsidRDefault="003520C7" w:rsidP="006C2CFB">
            <w:pPr>
              <w:tabs>
                <w:tab w:val="left" w:pos="754"/>
              </w:tabs>
              <w:spacing w:before="40" w:after="20" w:line="240" w:lineRule="auto"/>
              <w:ind w:left="720"/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319E3">
              <w:rPr>
                <w:rFonts w:ascii="Arial Narrow" w:hAnsi="Arial Narrow"/>
                <w:sz w:val="20"/>
                <w:szCs w:val="20"/>
                <w:lang w:val="sr-Cyrl-BA"/>
              </w:rPr>
              <w:t>Регионална полицијска сарадња“,ЈП Завод за  уџбенике и наставна средстава, Источно Сарајево,</w:t>
            </w:r>
          </w:p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14 - 240</w:t>
            </w:r>
          </w:p>
        </w:tc>
      </w:tr>
      <w:tr w:rsidR="003520C7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20C7" w:rsidRPr="003B7CF6" w:rsidTr="006C2CF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0C7" w:rsidRPr="003B7CF6" w:rsidRDefault="003520C7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100 %</w:t>
            </w:r>
          </w:p>
        </w:tc>
      </w:tr>
    </w:tbl>
    <w:p w:rsidR="00EB023D" w:rsidRPr="00B2220F" w:rsidRDefault="0066612E" w:rsidP="003520C7">
      <w:pPr>
        <w:rPr>
          <w:lang w:val="sr-Cyrl-BA"/>
        </w:rPr>
      </w:pPr>
      <w:bookmarkStart w:id="0" w:name="_GoBack"/>
      <w:bookmarkEnd w:id="0"/>
    </w:p>
    <w:sectPr w:rsidR="00EB023D" w:rsidRPr="00B2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2E" w:rsidRDefault="0066612E" w:rsidP="003520C7">
      <w:pPr>
        <w:spacing w:after="0" w:line="240" w:lineRule="auto"/>
      </w:pPr>
      <w:r>
        <w:separator/>
      </w:r>
    </w:p>
  </w:endnote>
  <w:endnote w:type="continuationSeparator" w:id="0">
    <w:p w:rsidR="0066612E" w:rsidRDefault="0066612E" w:rsidP="0035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2E" w:rsidRDefault="0066612E" w:rsidP="003520C7">
      <w:pPr>
        <w:spacing w:after="0" w:line="240" w:lineRule="auto"/>
      </w:pPr>
      <w:r>
        <w:separator/>
      </w:r>
    </w:p>
  </w:footnote>
  <w:footnote w:type="continuationSeparator" w:id="0">
    <w:p w:rsidR="0066612E" w:rsidRDefault="0066612E" w:rsidP="003520C7">
      <w:pPr>
        <w:spacing w:after="0" w:line="240" w:lineRule="auto"/>
      </w:pPr>
      <w:r>
        <w:continuationSeparator/>
      </w:r>
    </w:p>
  </w:footnote>
  <w:footnote w:id="1">
    <w:p w:rsidR="003520C7" w:rsidRPr="00ED59F8" w:rsidRDefault="003520C7" w:rsidP="003520C7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3520C7" w:rsidRPr="00BB3616" w:rsidRDefault="003520C7" w:rsidP="003520C7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3520C7" w:rsidRPr="00564658" w:rsidRDefault="003520C7" w:rsidP="003520C7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0F"/>
    <w:rsid w:val="001D7A93"/>
    <w:rsid w:val="003520C7"/>
    <w:rsid w:val="0066612E"/>
    <w:rsid w:val="006A021C"/>
    <w:rsid w:val="009E7C6F"/>
    <w:rsid w:val="00B2220F"/>
    <w:rsid w:val="00E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20C7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C7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520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20C7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C7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520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cp:lastPrinted>2022-12-08T09:07:00Z</cp:lastPrinted>
  <dcterms:created xsi:type="dcterms:W3CDTF">2022-12-08T09:02:00Z</dcterms:created>
  <dcterms:modified xsi:type="dcterms:W3CDTF">2023-11-24T21:36:00Z</dcterms:modified>
</cp:coreProperties>
</file>